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49"/>
        <w:jc w:val="both"/>
        <w:spacing w:before="0" w:after="0"/>
        <w:widowControl w:val="off"/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                                    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49"/>
        <w:jc w:val="both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9"/>
        <w:jc w:val="both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9"/>
        <w:jc w:val="both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9"/>
        <w:jc w:val="both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9"/>
        <w:jc w:val="both"/>
        <w:spacing w:before="0" w:after="0" w:line="17" w:lineRule="atLeast"/>
        <w:widowControl w:val="off"/>
        <w:rPr>
          <w:rFonts w:ascii="Tinos" w:hAnsi="Tinos" w:cs="Tinos"/>
          <w:b/>
          <w:bCs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                                    </w:t>
      </w:r>
      <w:r>
        <w:rPr>
          <w:rFonts w:ascii="Tinos" w:hAnsi="Tinos" w:eastAsia="Tinos" w:cs="Tinos"/>
          <w:b/>
          <w:bCs/>
          <w:sz w:val="22"/>
          <w:szCs w:val="22"/>
        </w:rPr>
        <w:t xml:space="preserve">   ПРОЕКТ ДОГОВОРА ПОСТАВКИ ПРОДУКЦИИ №_______</w:t>
      </w:r>
      <w:r>
        <w:rPr>
          <w:rFonts w:ascii="Tinos" w:hAnsi="Tinos" w:cs="Tinos"/>
          <w:b/>
          <w:bCs/>
          <w:sz w:val="22"/>
          <w:szCs w:val="22"/>
        </w:rPr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г. Кызыл                      </w:t>
      </w:r>
      <w:r>
        <w:rPr>
          <w:rFonts w:ascii="Tinos" w:hAnsi="Tinos" w:eastAsia="Tinos" w:cs="Tinos"/>
          <w:sz w:val="22"/>
          <w:szCs w:val="22"/>
        </w:rPr>
        <w:tab/>
      </w:r>
      <w:r>
        <w:rPr>
          <w:rFonts w:ascii="Tinos" w:hAnsi="Tinos" w:eastAsia="Tinos" w:cs="Tinos"/>
          <w:sz w:val="22"/>
          <w:szCs w:val="22"/>
        </w:rPr>
        <w:tab/>
      </w:r>
      <w:r>
        <w:rPr>
          <w:rFonts w:ascii="Tinos" w:hAnsi="Tinos" w:eastAsia="Tinos" w:cs="Tinos"/>
          <w:sz w:val="22"/>
          <w:szCs w:val="22"/>
        </w:rPr>
        <w:tab/>
      </w:r>
      <w:r>
        <w:rPr>
          <w:rFonts w:ascii="Tinos" w:hAnsi="Tinos" w:eastAsia="Tinos" w:cs="Tinos"/>
          <w:sz w:val="22"/>
          <w:szCs w:val="22"/>
        </w:rPr>
        <w:tab/>
      </w:r>
      <w:r>
        <w:rPr>
          <w:rFonts w:ascii="Tinos" w:hAnsi="Tinos" w:eastAsia="Tinos" w:cs="Tinos"/>
          <w:sz w:val="22"/>
          <w:szCs w:val="22"/>
        </w:rPr>
        <w:tab/>
      </w:r>
      <w:r>
        <w:rPr>
          <w:rFonts w:ascii="Tinos" w:hAnsi="Tinos" w:eastAsia="Tinos" w:cs="Tinos"/>
          <w:sz w:val="22"/>
          <w:szCs w:val="22"/>
        </w:rPr>
        <w:tab/>
        <w:t xml:space="preserve">                                       «___»__________20__ г.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АО «Россети Сибирь Тываэнерго», именуемое в дальнейшем </w:t>
      </w:r>
      <w:r>
        <w:rPr>
          <w:rFonts w:ascii="Tinos" w:hAnsi="Tinos" w:eastAsia="Tinos" w:cs="Tinos"/>
          <w:b/>
          <w:bCs/>
          <w:sz w:val="22"/>
          <w:szCs w:val="22"/>
        </w:rPr>
        <w:t xml:space="preserve">«Покупатель», </w:t>
      </w:r>
      <w:r>
        <w:rPr>
          <w:rFonts w:ascii="Tinos" w:hAnsi="Tinos" w:eastAsia="Tinos" w:cs="Tinos"/>
          <w:sz w:val="22"/>
          <w:szCs w:val="22"/>
        </w:rPr>
        <w:t xml:space="preserve">в лице и.о. управляющего директора – первого заместителя генерального директора Таранкова Алексея Игоревича, действующего на основании Доверенности </w:t>
      </w:r>
      <w:r>
        <w:rPr>
          <w:rFonts w:ascii="Tinos" w:hAnsi="Tinos" w:eastAsia="Tinos" w:cs="Tinos"/>
          <w:bCs/>
          <w:sz w:val="22"/>
          <w:szCs w:val="22"/>
        </w:rPr>
        <w:t xml:space="preserve">№ 00/152/101 от 07.10.2025 г.</w:t>
      </w:r>
      <w:r>
        <w:rPr>
          <w:rFonts w:ascii="Tinos" w:hAnsi="Tinos" w:eastAsia="Tinos" w:cs="Tinos"/>
          <w:sz w:val="22"/>
          <w:szCs w:val="22"/>
        </w:rPr>
        <w:t xml:space="preserve"> с одной стороны; и , _______, именуемое в дальнейшем </w:t>
      </w:r>
      <w:r>
        <w:rPr>
          <w:rFonts w:ascii="Tinos" w:hAnsi="Tinos" w:eastAsia="Tinos" w:cs="Tinos"/>
          <w:b/>
          <w:bCs/>
          <w:sz w:val="22"/>
          <w:szCs w:val="22"/>
        </w:rPr>
        <w:t xml:space="preserve">«Поставщик»</w:t>
      </w:r>
      <w:r>
        <w:rPr>
          <w:rFonts w:ascii="Tinos" w:hAnsi="Tinos" w:eastAsia="Tinos" w:cs="Tinos"/>
          <w:sz w:val="22"/>
          <w:szCs w:val="22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нижеследующем: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2"/>
        </w:numPr>
        <w:ind w:left="0" w:right="40" w:firstLine="0"/>
        <w:jc w:val="center"/>
        <w:spacing w:after="0" w:line="17" w:lineRule="atLeast"/>
        <w:widowControl w:val="off"/>
        <w:tabs>
          <w:tab w:val="left" w:pos="283" w:leader="none"/>
          <w:tab w:val="left" w:pos="420" w:leader="none"/>
          <w:tab w:val="left" w:pos="567" w:leader="none"/>
          <w:tab w:val="clear" w:pos="7023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Предмет Договора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numPr>
          <w:ilvl w:val="1"/>
          <w:numId w:val="3"/>
        </w:numPr>
        <w:ind w:left="0" w:firstLine="0"/>
        <w:jc w:val="both"/>
        <w:spacing w:after="0" w:line="17" w:lineRule="atLeast"/>
        <w:widowControl w:val="off"/>
        <w:tabs>
          <w:tab w:val="left" w:pos="0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соответствии с настоящим Договором Поставщик обязуется поставить Поку</w:t>
      </w:r>
      <w:r>
        <w:rPr>
          <w:rFonts w:ascii="Tinos" w:hAnsi="Tinos" w:eastAsia="Tinos" w:cs="Tinos"/>
          <w:sz w:val="22"/>
          <w:szCs w:val="22"/>
        </w:rPr>
        <w:t xml:space="preserve">пателю:</w:t>
      </w:r>
      <w:r>
        <w:rPr>
          <w:rFonts w:ascii="Tinos" w:hAnsi="Tinos" w:eastAsia="Tinos" w:cs="Tinos"/>
          <w:bCs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  <w:lang w:eastAsia="ru-RU"/>
        </w:rPr>
        <w:t xml:space="preserve">ОПН-35 кВ, ОПН-110 кВ, ОПНН-110 кВ</w:t>
      </w:r>
      <w:r>
        <w:rPr>
          <w:rFonts w:ascii="Tinos" w:hAnsi="Tinos" w:eastAsia="Tinos" w:cs="Tinos"/>
          <w:sz w:val="22"/>
          <w:szCs w:val="22"/>
        </w:rPr>
        <w:t xml:space="preserve"> 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52"/>
        <w:numPr>
          <w:ilvl w:val="1"/>
          <w:numId w:val="3"/>
        </w:numPr>
        <w:ind w:left="0" w:right="40"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Покупатель обязуется принять и своевременно оплатить Продукцию в порядке, определенном настоящим Договором.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2"/>
        <w:numPr>
          <w:ilvl w:val="1"/>
          <w:numId w:val="3"/>
        </w:numPr>
        <w:ind w:left="0" w:right="40"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уменьшено в случае сокращения п</w:t>
      </w:r>
      <w:r>
        <w:rPr>
          <w:rFonts w:ascii="Tinos" w:hAnsi="Tinos" w:eastAsia="Tinos" w:cs="Tinos"/>
          <w:sz w:val="22"/>
          <w:szCs w:val="22"/>
        </w:rPr>
        <w:t xml:space="preserve">отребности Покупателя без применения штрафных санкций от общего количества, указанного в Приложении № 1 к настоящему Договору, в связи с чем Поставщик обязуется подписать направленное в его адрес Покупателем дополнительное соглашение к настоящему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2"/>
        </w:numPr>
        <w:ind w:left="0" w:right="40" w:firstLine="0"/>
        <w:jc w:val="center"/>
        <w:spacing w:after="0" w:line="17" w:lineRule="atLeast"/>
        <w:widowControl w:val="off"/>
        <w:tabs>
          <w:tab w:val="left" w:pos="283" w:leader="none"/>
          <w:tab w:val="left" w:pos="420" w:leader="none"/>
          <w:tab w:val="left" w:pos="567" w:leader="none"/>
          <w:tab w:val="clear" w:pos="7023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Цена и порядок расчётов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56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left" w:pos="142" w:leader="none"/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Цена настоящего Договора без НДС составляет: ____</w:t>
      </w:r>
      <w:r>
        <w:rPr>
          <w:rFonts w:ascii="Tinos" w:hAnsi="Tinos" w:eastAsia="Tinos" w:cs="Tinos"/>
          <w:bCs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( ) рублей, _ копеек. Кроме того, НДС 20% составляет: _ ( ) рублей, _ копеек. Всего с НДС цена Договора составляет: </w:t>
      </w:r>
      <w:r>
        <w:rPr>
          <w:rFonts w:ascii="Tinos" w:hAnsi="Tinos" w:eastAsia="Tinos" w:cs="Tinos"/>
          <w:bCs/>
          <w:sz w:val="22"/>
          <w:szCs w:val="22"/>
        </w:rPr>
        <w:t xml:space="preserve">_ </w:t>
      </w:r>
      <w:r>
        <w:rPr>
          <w:rFonts w:ascii="Tinos" w:hAnsi="Tinos" w:eastAsia="Tinos" w:cs="Tinos"/>
          <w:sz w:val="22"/>
          <w:szCs w:val="22"/>
        </w:rPr>
        <w:t xml:space="preserve">( ) рублей, _ копеек. Цена Договора указана в Спецификации (Приложение № 1 к Договору). Цена является твердой, окончательной и не подлежит изменению в течение срока его действия.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6"/>
        <w:ind w:right="40" w:firstLine="0"/>
        <w:spacing w:before="0" w:after="0" w:line="17" w:lineRule="atLeast"/>
        <w:widowControl w:val="off"/>
        <w:tabs>
          <w:tab w:val="left" w:pos="142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случае изменения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6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</w:t>
      </w:r>
      <w:r>
        <w:rPr>
          <w:rFonts w:ascii="Tinos" w:hAnsi="Tinos" w:eastAsia="Tinos" w:cs="Tinos"/>
          <w:sz w:val="22"/>
          <w:szCs w:val="22"/>
        </w:rPr>
        <w:t xml:space="preserve">о Договора. Стоимость поставляемой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сборами, платежами, а также таможенными пошлинами, расходами</w:t>
      </w:r>
      <w:r>
        <w:rPr>
          <w:rFonts w:ascii="Tinos" w:hAnsi="Tinos" w:eastAsia="Tinos" w:cs="Tinos"/>
          <w:sz w:val="22"/>
          <w:szCs w:val="22"/>
        </w:rPr>
        <w:t xml:space="preserve">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6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соглашению сторон с оформлением новой Спецификации.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56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num" w:pos="0" w:leader="none"/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Продукция оплачивается Покупателем в течение 30 (тридцати) календарных дней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(для СМП – в срок не более 7 (семи) рабочих дней) со дня получения Покупателем Продукции в полном объеме, указанном в Спецификации (Приложение № 1), по товарной накладной (товарно-транспортной накладной), либо универсальному передаточному документу (УПД).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56"/>
        <w:ind w:right="40" w:firstLine="0"/>
        <w:spacing w:before="0" w:after="0" w:line="17" w:lineRule="atLeast"/>
        <w:widowControl w:val="off"/>
        <w:tabs>
          <w:tab w:val="num" w:pos="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6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платежном поручении Покупатель указ</w:t>
      </w:r>
      <w:r>
        <w:rPr>
          <w:rFonts w:ascii="Tinos" w:hAnsi="Tinos" w:eastAsia="Tinos" w:cs="Tinos"/>
          <w:sz w:val="22"/>
          <w:szCs w:val="22"/>
        </w:rPr>
        <w:t xml:space="preserve">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6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</w:t>
      </w:r>
      <w:r>
        <w:rPr>
          <w:rFonts w:ascii="Tinos" w:hAnsi="Tinos" w:eastAsia="Tinos" w:cs="Tinos"/>
          <w:sz w:val="22"/>
          <w:szCs w:val="22"/>
        </w:rPr>
        <w:t xml:space="preserve">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</w:t>
      </w:r>
      <w:r>
        <w:rPr>
          <w:rFonts w:ascii="Tinos" w:hAnsi="Tinos" w:eastAsia="Tinos" w:cs="Tinos"/>
          <w:sz w:val="22"/>
          <w:szCs w:val="22"/>
        </w:rPr>
        <w:t xml:space="preserve">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6"/>
        <w:ind w:right="40" w:firstLine="0"/>
        <w:spacing w:before="0" w:after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Для целей применения настоящего пункта Стороны признают, что понятие «выставил» означает изготовление и передачу Покупателю оригинала счета-ф</w:t>
      </w:r>
      <w:r>
        <w:rPr>
          <w:rFonts w:ascii="Tinos" w:hAnsi="Tinos" w:eastAsia="Tinos" w:cs="Tinos"/>
          <w:sz w:val="22"/>
          <w:szCs w:val="22"/>
        </w:rPr>
        <w:t xml:space="preserve">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6"/>
        <w:ind w:right="40" w:firstLine="0"/>
        <w:spacing w:before="0" w:after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bCs/>
          <w:i/>
          <w:iCs/>
          <w:sz w:val="22"/>
          <w:szCs w:val="22"/>
        </w:rPr>
        <w:t xml:space="preserve">*В случае перехода на электронный документооборот, пункт 2.6. излагается в следующей редакции: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6"/>
        <w:ind w:right="40" w:firstLine="0"/>
        <w:spacing w:before="0" w:after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</w:t>
      </w:r>
      <w:r>
        <w:rPr>
          <w:rFonts w:ascii="Tinos" w:hAnsi="Tinos" w:eastAsia="Tinos" w:cs="Tinos"/>
          <w:sz w:val="22"/>
          <w:szCs w:val="22"/>
        </w:rPr>
        <w:t xml:space="preserve">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</w:t>
      </w:r>
      <w:r>
        <w:rPr>
          <w:rFonts w:ascii="Tinos" w:hAnsi="Tinos" w:eastAsia="Tinos" w:cs="Tinos"/>
          <w:sz w:val="22"/>
          <w:szCs w:val="22"/>
        </w:rPr>
        <w:t xml:space="preserve">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</w:t>
      </w:r>
      <w:r>
        <w:rPr>
          <w:rFonts w:ascii="Tinos" w:hAnsi="Tinos" w:eastAsia="Tinos" w:cs="Tinos"/>
          <w:sz w:val="22"/>
          <w:szCs w:val="22"/>
        </w:rPr>
        <w:t xml:space="preserve">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</w:t>
      </w:r>
      <w:r>
        <w:rPr>
          <w:rFonts w:ascii="Tinos" w:hAnsi="Tinos" w:eastAsia="Tinos" w:cs="Tinos"/>
          <w:sz w:val="22"/>
          <w:szCs w:val="22"/>
        </w:rPr>
        <w:t xml:space="preserve">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6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обязан оформлять первичные бухгалтерские документы в соответствие с пунктом 2 статьи 9 Федерального закона от 06.12.2011 №</w:t>
      </w:r>
      <w:r>
        <w:rPr>
          <w:rFonts w:ascii="Tinos" w:hAnsi="Tinos" w:eastAsia="Tinos" w:cs="Tinos"/>
          <w:sz w:val="22"/>
          <w:szCs w:val="22"/>
        </w:rPr>
        <w:t xml:space="preserve"> 402-ФЗ «О бухгалтерском учете».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6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обязан предоставить Покупателю, подписанный со своей стороны, акт сверки взаиморасчетов, не позднее 10 (десяти) рабочих дней после выполнения обязательств Покупателя по оплате.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0"/>
        <w:numPr>
          <w:ilvl w:val="1"/>
          <w:numId w:val="4"/>
        </w:numPr>
        <w:ind w:left="0" w:firstLine="0"/>
        <w:spacing w:before="0" w:after="0" w:line="17" w:lineRule="atLeast"/>
        <w:tabs>
          <w:tab w:val="num" w:pos="0" w:leader="none"/>
          <w:tab w:val="clear" w:pos="360" w:leader="none"/>
          <w:tab w:val="num" w:pos="426" w:leader="none"/>
        </w:tabs>
        <w:rPr>
          <w:rFonts w:ascii="Tinos" w:hAnsi="Tinos" w:cs="Tinos"/>
          <w:i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вправе истребовать друг у д</w:t>
      </w:r>
      <w:r>
        <w:rPr>
          <w:rFonts w:ascii="Tinos" w:hAnsi="Tinos" w:eastAsia="Tinos" w:cs="Tinos"/>
          <w:sz w:val="22"/>
          <w:szCs w:val="22"/>
        </w:rPr>
        <w:t xml:space="preserve">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1065"/>
          <w:rFonts w:ascii="Tinos" w:hAnsi="Tinos" w:eastAsia="Tinos" w:cs="Tinos"/>
          <w:sz w:val="22"/>
          <w:szCs w:val="22"/>
        </w:rPr>
        <w:footnoteReference w:id="2"/>
      </w:r>
      <w:r>
        <w:rPr>
          <w:rFonts w:ascii="Tinos" w:hAnsi="Tinos" w:eastAsia="Tinos" w:cs="Tinos"/>
          <w:sz w:val="22"/>
          <w:szCs w:val="22"/>
        </w:rPr>
        <w:t xml:space="preserve">. </w:t>
      </w:r>
      <w:r>
        <w:rPr>
          <w:rFonts w:ascii="Tinos" w:hAnsi="Tinos" w:cs="Tinos"/>
          <w:i/>
          <w:sz w:val="22"/>
          <w:szCs w:val="22"/>
        </w:rPr>
      </w:r>
      <w:r>
        <w:rPr>
          <w:rFonts w:ascii="Tinos" w:hAnsi="Tinos" w:cs="Tinos"/>
          <w:i/>
          <w:sz w:val="22"/>
          <w:szCs w:val="22"/>
        </w:rPr>
      </w:r>
    </w:p>
    <w:p>
      <w:pPr>
        <w:pStyle w:val="1056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при поставке товаров, подлежащих прослеживаемости в соответствии с Постановлением Правительства РФ от 01.07.2021 № 1108 «Об </w:t>
      </w:r>
      <w:r>
        <w:rPr>
          <w:rFonts w:ascii="Tinos" w:hAnsi="Tinos" w:eastAsia="Tinos" w:cs="Tinos"/>
          <w:sz w:val="22"/>
          <w:szCs w:val="22"/>
        </w:rPr>
        <w:t xml:space="preserve">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</w:t>
      </w:r>
      <w:r>
        <w:rPr>
          <w:rFonts w:ascii="Tinos" w:hAnsi="Tinos" w:eastAsia="Tinos" w:cs="Tinos"/>
          <w:sz w:val="22"/>
          <w:szCs w:val="22"/>
        </w:rPr>
        <w:t xml:space="preserve">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4"/>
        </w:numPr>
        <w:ind w:right="40"/>
        <w:jc w:val="center"/>
        <w:spacing w:after="0" w:line="17" w:lineRule="atLeast"/>
        <w:widowControl w:val="off"/>
        <w:tabs>
          <w:tab w:val="left" w:pos="283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3. Сроки и порядок поставки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numPr>
          <w:ilvl w:val="1"/>
          <w:numId w:val="4"/>
        </w:numPr>
        <w:ind w:left="0" w:right="40" w:firstLine="0"/>
        <w:jc w:val="both"/>
        <w:spacing w:after="0" w:line="17" w:lineRule="atLeast"/>
        <w:widowControl w:val="off"/>
        <w:tabs>
          <w:tab w:val="clear" w:pos="360" w:leader="none"/>
          <w:tab w:val="left" w:pos="425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Срок поставки: </w:t>
      </w:r>
      <w:r>
        <w:rPr>
          <w:rFonts w:ascii="Tinos" w:hAnsi="Tinos" w:eastAsia="Tinos" w:cs="Tinos"/>
          <w:sz w:val="22"/>
          <w:szCs w:val="22"/>
        </w:rPr>
        <w:t xml:space="preserve">в период с </w:t>
      </w:r>
      <w:r>
        <w:rPr>
          <w:rFonts w:ascii="Tinos" w:hAnsi="Tinos" w:eastAsia="Tinos" w:cs="Tinos"/>
          <w:sz w:val="22"/>
          <w:szCs w:val="22"/>
        </w:rPr>
        <w:t xml:space="preserve">01.04.2026 г. по 30.04.2026</w:t>
      </w:r>
      <w:r>
        <w:rPr>
          <w:rFonts w:ascii="Tinos" w:hAnsi="Tinos" w:eastAsia="Tinos" w:cs="Tinos"/>
          <w:sz w:val="22"/>
          <w:szCs w:val="22"/>
        </w:rPr>
        <w:t xml:space="preserve"> г.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4"/>
        </w:numPr>
        <w:ind w:left="0" w:right="40" w:firstLine="0"/>
        <w:jc w:val="both"/>
        <w:spacing w:after="0" w:line="17" w:lineRule="atLeast"/>
        <w:widowControl w:val="off"/>
        <w:tabs>
          <w:tab w:val="clear" w:pos="360" w:leader="none"/>
          <w:tab w:val="left" w:pos="425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  <w:highlight w:val="white"/>
        </w:rPr>
        <w:t xml:space="preserve"> Место (объект) поставки: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667004, Республика Тыва, г. Кызыл, ул. Колхозная 2</w:t>
      </w:r>
      <w:r>
        <w:rPr>
          <w:rFonts w:ascii="Tinos" w:hAnsi="Tinos" w:eastAsia="Tinos" w:cs="Tinos"/>
          <w:sz w:val="22"/>
          <w:szCs w:val="22"/>
        </w:rPr>
        <w:t xml:space="preserve">Б, Центральный склад </w:t>
      </w:r>
      <w:r>
        <w:rPr>
          <w:rFonts w:ascii="Tinos" w:hAnsi="Tinos" w:eastAsia="Tinos" w:cs="Tinos"/>
          <w:sz w:val="22"/>
          <w:szCs w:val="22"/>
        </w:rPr>
        <w:t xml:space="preserve">АО «Россети Сибирь Тываэнерго».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4"/>
        </w:numPr>
        <w:ind w:left="0" w:right="40" w:firstLine="0"/>
        <w:jc w:val="both"/>
        <w:spacing w:after="0" w:line="17" w:lineRule="atLeast"/>
        <w:widowControl w:val="off"/>
        <w:tabs>
          <w:tab w:val="clear" w:pos="360" w:leader="none"/>
          <w:tab w:val="left" w:pos="425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Способ поставки: поставка осуществляется транспортом за счет средств Поставщика.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2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left" w:pos="425" w:leader="none"/>
        </w:tabs>
        <w:rPr>
          <w:rFonts w:ascii="Tinos" w:hAnsi="Tinos" w:cs="Tinos"/>
          <w:i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электронной почты.</w:t>
      </w:r>
      <w:r>
        <w:rPr>
          <w:rFonts w:ascii="Tinos" w:hAnsi="Tinos" w:cs="Tinos"/>
          <w:i/>
          <w:sz w:val="22"/>
          <w:szCs w:val="22"/>
        </w:rPr>
      </w:r>
      <w:r>
        <w:rPr>
          <w:rFonts w:ascii="Tinos" w:hAnsi="Tinos" w:cs="Tinos"/>
          <w:i/>
          <w:sz w:val="22"/>
          <w:szCs w:val="22"/>
        </w:rPr>
      </w:r>
    </w:p>
    <w:p>
      <w:pPr>
        <w:pStyle w:val="1052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left" w:pos="425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Право собственности и риск случайной гибели Продукции переходит от Поставщика к Покупателю в момент передачи продукции Покупателю (франко-склад Покупателя).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2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left" w:pos="425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Да</w:t>
      </w:r>
      <w:r>
        <w:rPr>
          <w:rFonts w:ascii="Tinos" w:hAnsi="Tinos" w:eastAsia="Tinos" w:cs="Tinos"/>
          <w:sz w:val="22"/>
          <w:szCs w:val="22"/>
        </w:rPr>
        <w:t xml:space="preserve">той поставки (отгрузки) Продукции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2"/>
        <w:ind w:right="40" w:firstLine="0"/>
        <w:spacing w:before="0" w:after="0" w:line="17" w:lineRule="atLeast"/>
        <w:widowControl w:val="off"/>
        <w:tabs>
          <w:tab w:val="left" w:pos="425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Подтверждением факта приемки-передачи (отгрузки) Продукции является товарная накладная (товарно-транспортная накладная) или УПД.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2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left" w:pos="425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случае привлечения Поставщиком грузоперевозчика, факт доставки Продукц</w:t>
      </w:r>
      <w:r>
        <w:rPr>
          <w:rFonts w:ascii="Tinos" w:hAnsi="Tinos" w:eastAsia="Tinos" w:cs="Tinos"/>
          <w:sz w:val="22"/>
          <w:szCs w:val="22"/>
        </w:rPr>
        <w:t xml:space="preserve">ии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2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</w:t>
      </w:r>
      <w:r>
        <w:rPr>
          <w:rFonts w:ascii="Tinos" w:hAnsi="Tinos" w:eastAsia="Tinos" w:cs="Tinos"/>
          <w:sz w:val="22"/>
          <w:szCs w:val="22"/>
        </w:rPr>
        <w:t xml:space="preserve">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4"/>
        </w:numPr>
        <w:ind w:right="40"/>
        <w:jc w:val="center"/>
        <w:spacing w:after="0" w:line="17" w:lineRule="atLeast"/>
        <w:widowControl w:val="off"/>
        <w:tabs>
          <w:tab w:val="left" w:pos="283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4. Качество и порядок приемки Продукции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80"/>
        <w:numPr>
          <w:ilvl w:val="1"/>
          <w:numId w:val="7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Поставляемая Продукция должна быть экологически безопасн</w:t>
      </w:r>
      <w:r>
        <w:rPr>
          <w:rFonts w:ascii="Tinos" w:hAnsi="Tinos" w:eastAsia="Tinos" w:cs="Tinos"/>
          <w:sz w:val="22"/>
          <w:szCs w:val="22"/>
        </w:rPr>
        <w:t xml:space="preserve">ой и по своему качеству должна соответствовать наименованию и характеристикам, указанным в Спецификации (Приложение № 1) к настоящему Договору, должна быть изготовлена в год поставки или предшествующий ему и быть ранее не использованной.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Продукция должна соответствовать требованиям: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numPr>
          <w:ilvl w:val="0"/>
          <w:numId w:val="9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Положения ПАО «Россети» О единой технической политике в электросетевом комплексе.</w:t>
      </w: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Продукция должна сопровождаться сертификатом/декларацией соответствия и протоколом испытаний, подтверждающих заявленные характеристики, а также документацией по монтажу, наладке и эксплуатации.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eastAsia="Tinos" w:cs="Tinos"/>
          <w:sz w:val="22"/>
          <w:szCs w:val="22"/>
        </w:rPr>
        <w:t xml:space="preserve">Упаковка, маркировка,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</w:t>
      </w:r>
      <w:r>
        <w:rPr>
          <w:rFonts w:ascii="Tinos" w:hAnsi="Tinos" w:eastAsia="Tinos" w:cs="Tinos"/>
          <w:sz w:val="22"/>
          <w:szCs w:val="22"/>
        </w:rPr>
        <w:t xml:space="preserve">нтации должны соответствовать требованиям, указанным в технических условиях изготовителя изделия, требованиям ГОСТ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23216-78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и др. нормативно-технической документации.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Продукция должна снабжаться идентифицирующей и информационной маркировкой, обеспечивающей потребителя полной информацией о Продукции и</w:t>
      </w:r>
      <w:r>
        <w:rPr>
          <w:rFonts w:ascii="Tinos" w:hAnsi="Tinos" w:eastAsia="Tinos" w:cs="Tinos"/>
          <w:sz w:val="22"/>
          <w:szCs w:val="22"/>
          <w:lang w:eastAsia="en-US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должна быть рассчитана на эксплуатацию в непрерывном режиме круглосуточно в заданных условиях в течение установленного срока службы.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iCs/>
          <w:sz w:val="22"/>
          <w:szCs w:val="22"/>
        </w:rPr>
        <w:t xml:space="preserve"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Вся сопроводительная документация должна быть составлена на русском языке и передана Покупателю вместе с поставляемой Продукцией.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numPr>
          <w:ilvl w:val="1"/>
          <w:numId w:val="7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Срок гарантии на поставляемые материалы и оборудование должен быть не менее 12 (двенадцати) месяцев. Время начала исчисления гарантийного срока – </w:t>
      </w:r>
      <w:r>
        <w:rPr>
          <w:rFonts w:ascii="Tinos" w:hAnsi="Tinos" w:eastAsia="Tinos" w:cs="Tinos"/>
          <w:sz w:val="22"/>
          <w:szCs w:val="22"/>
        </w:rPr>
        <w:t xml:space="preserve">с момента приемки Продукции Покупателем</w:t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должен за свой счет и сроки, согласованные с Покупателем, устранять любые дефекты в поставляемом оборудовании, материалах, выявленные в течение гарантийного срока.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numPr>
          <w:ilvl w:val="1"/>
          <w:numId w:val="7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Покупатель обязан оперативно уведомить Поставщика в письменной форме обо всех претензиях, связанных с невыполнением требований п. 4.1. Договора. П</w:t>
      </w:r>
      <w:r>
        <w:rPr>
          <w:rFonts w:ascii="Tinos" w:hAnsi="Tinos" w:eastAsia="Tinos" w:cs="Tinos"/>
          <w:sz w:val="22"/>
          <w:szCs w:val="22"/>
        </w:rPr>
        <w:t xml:space="preserve">осле получения подобного уведомления, Поставщик должен в течение 20 (двадцати)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numPr>
          <w:ilvl w:val="1"/>
          <w:numId w:val="7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Если Поставщик, получив уведомление, не исправит дефект(ы) или не произведет замену некачественной Продукции в сроки, указанные в п. 4.3 настоящего До</w:t>
      </w:r>
      <w:r>
        <w:rPr>
          <w:rFonts w:ascii="Tinos" w:hAnsi="Tinos" w:eastAsia="Tinos" w:cs="Tinos"/>
          <w:sz w:val="22"/>
          <w:szCs w:val="22"/>
        </w:rPr>
        <w:t xml:space="preserve">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7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  <w:tab w:val="left" w:pos="99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существенного нарушения требований к качеству Продукции (обнаружения не</w:t>
      </w:r>
      <w:r>
        <w:rPr>
          <w:rFonts w:ascii="Tinos" w:hAnsi="Tinos" w:eastAsia="Tinos" w:cs="Tinos"/>
          <w:sz w:val="22"/>
          <w:szCs w:val="22"/>
        </w:rPr>
        <w:t xml:space="preserve">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numPr>
          <w:ilvl w:val="0"/>
          <w:numId w:val="10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отказаться от исполнения Договора и потребовать возврата уплаченной за Продукцию денежной суммы;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numPr>
          <w:ilvl w:val="0"/>
          <w:numId w:val="10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потребовать замены Продукции ненадлежащего качества Продукцией, соответствующей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numPr>
          <w:ilvl w:val="1"/>
          <w:numId w:val="7"/>
        </w:numPr>
        <w:ind w:left="0" w:right="4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 приемке продукции осуществляется: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11"/>
        </w:numPr>
        <w:ind w:left="0" w:firstLine="0"/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внешний осмотр тары и упаковки: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11"/>
        </w:numPr>
        <w:ind w:left="0" w:firstLine="0"/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проверку соответствия количества отгруженных и поступивших поставочных мест;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11"/>
        </w:numPr>
        <w:ind w:left="0" w:firstLine="0"/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11"/>
        </w:numPr>
        <w:ind w:left="0" w:firstLine="0"/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11"/>
        </w:numPr>
        <w:ind w:left="0" w:firstLine="0"/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11"/>
        </w:numPr>
        <w:ind w:left="0" w:firstLine="0"/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контроль соответствия качества и комплектности материалов требованиям проектной, конструкторской документации и договоров на поставку.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ind w:left="0"/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выявления дефектов, участник обязан за свой счет заменить поставленную продукцию.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ind w:left="0" w:right="4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4.7. Продукция, поставляемая по настоящему Договору, должна быть рекомендована к применению по результатам проведения проверки и подтверждения качества Товара, основанный на оценке соответствия функциональных показате</w:t>
      </w:r>
      <w:r>
        <w:rPr>
          <w:rFonts w:ascii="Tinos" w:hAnsi="Tinos" w:eastAsia="Tinos" w:cs="Tinos"/>
          <w:sz w:val="22"/>
          <w:szCs w:val="22"/>
        </w:rPr>
        <w:t xml:space="preserve">лей предлагаемого к использованию на объектах электросетевого хозяйства ДЗО ПАО «Россети» оборудования, материалов и систем требованиям стандартов, корпоративных нормативно-технических документов, дополнительным требованиям электросетевого комплекса, отраж</w:t>
      </w:r>
      <w:r>
        <w:rPr>
          <w:rFonts w:ascii="Tinos" w:hAnsi="Tinos" w:eastAsia="Tinos" w:cs="Tinos"/>
          <w:sz w:val="22"/>
          <w:szCs w:val="22"/>
        </w:rPr>
        <w:t xml:space="preserve">ающим условия применения и возможности его использования на объектах ДЗО ПАО «Россети». Проверка качества оборудования, материалов и систем проводится в соответствии с Методикой ПАО «Россети» проведения проверки качества (аттестации) оборудования, материал</w:t>
      </w:r>
      <w:r>
        <w:rPr>
          <w:rFonts w:ascii="Tinos" w:hAnsi="Tinos" w:eastAsia="Tinos" w:cs="Tinos"/>
          <w:sz w:val="22"/>
          <w:szCs w:val="22"/>
        </w:rPr>
        <w:t xml:space="preserve">ов и систем в электросетевом комплексе и Порядком проведения проверки качества (аттестации) оборудования, материалов и систем в электросетевом комплексе на электросетевых объектах ДЗО  ПАО «Россети», Методикой проведения проверки цифрового оборудования и с</w:t>
      </w:r>
      <w:r>
        <w:rPr>
          <w:rFonts w:ascii="Tinos" w:hAnsi="Tinos" w:eastAsia="Tinos" w:cs="Tinos"/>
          <w:sz w:val="22"/>
          <w:szCs w:val="22"/>
        </w:rPr>
        <w:t xml:space="preserve">истем на соответствие требованиям безопасности информации, в том числе проведения проверки качества технических средств защиты информации в электросетевом комплексе (протокол заседания Правления ПАО «Россети» от 18.06.2020 № 1012пр (адрес в сети Интернет: </w:t>
      </w:r>
      <w:hyperlink r:id="rId11" w:tooltip="https://www.rosseti.ru/suppliers/technical-policy/equipment-quality-control/" w:history="1">
        <w:r>
          <w:rPr>
            <w:rStyle w:val="1069"/>
            <w:rFonts w:ascii="Tinos" w:hAnsi="Tinos" w:eastAsia="Tinos" w:cs="Tinos"/>
            <w:sz w:val="22"/>
            <w:szCs w:val="22"/>
          </w:rPr>
          <w:t xml:space="preserve">https://www.rosseti.ru/suppliers/technical-policy/equipment-quality-control/</w:t>
        </w:r>
      </w:hyperlink>
      <w:r>
        <w:rPr>
          <w:rFonts w:ascii="Tinos" w:hAnsi="Tinos" w:eastAsia="Tinos" w:cs="Tinos"/>
          <w:sz w:val="22"/>
          <w:szCs w:val="22"/>
        </w:rPr>
        <w:t xml:space="preserve">).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numPr>
          <w:ilvl w:val="1"/>
          <w:numId w:val="8"/>
        </w:numPr>
        <w:ind w:left="0" w:right="4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 поставке Продукции Поставщик должен передать Покупателю оригиналы следующих документов на русском языке: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numPr>
          <w:ilvl w:val="2"/>
          <w:numId w:val="8"/>
        </w:numPr>
        <w:ind w:left="0" w:right="40" w:firstLine="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eastAsia="Tinos" w:cs="Tinos"/>
          <w:sz w:val="22"/>
          <w:szCs w:val="22"/>
          <w:highlight w:val="none"/>
          <w:lang w:eastAsia="ru-RU"/>
        </w:rPr>
        <w:t xml:space="preserve">Российские сертификаты (декларации) соответствия требованиям ГОСТ Р (ГОСТ или ТУ (с приложением данных ТУ)) и безопасности</w:t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numPr>
          <w:ilvl w:val="2"/>
          <w:numId w:val="8"/>
        </w:numPr>
        <w:ind w:left="0" w:right="40" w:firstLine="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Гарантийные свидетельства.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numPr>
          <w:ilvl w:val="2"/>
          <w:numId w:val="8"/>
        </w:numPr>
        <w:ind w:left="0" w:right="40" w:firstLine="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numPr>
          <w:ilvl w:val="2"/>
          <w:numId w:val="8"/>
        </w:numPr>
        <w:ind w:left="0" w:right="40" w:firstLine="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Документ, подтверждающий страну происхождения Продукции.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numPr>
          <w:ilvl w:val="2"/>
          <w:numId w:val="8"/>
        </w:numPr>
        <w:ind w:left="0" w:right="40" w:firstLine="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Копию заключения о проверке качества, подтверждающего возможность применения Товара на объектах группы компаний «Россети», либо подтверждение включения Товара в Перечень допущенного </w:t>
      </w:r>
      <w:r>
        <w:rPr>
          <w:rFonts w:ascii="Tinos" w:hAnsi="Tinos" w:eastAsia="Tinos" w:cs="Tinos"/>
          <w:sz w:val="22"/>
          <w:szCs w:val="22"/>
        </w:rPr>
        <w:t xml:space="preserve">оборудования (кроме случаев, когда Товар допущен к применению КДО в случаях, предусмотренных в Регламенте работы КДО).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numPr>
          <w:ilvl w:val="1"/>
          <w:numId w:val="8"/>
        </w:numPr>
        <w:ind w:left="0" w:right="4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ind w:left="0"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                                                                5. Тара и упаковка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56"/>
        <w:numPr>
          <w:ilvl w:val="1"/>
          <w:numId w:val="5"/>
        </w:numPr>
        <w:ind w:left="0" w:right="40" w:firstLine="0"/>
        <w:spacing w:before="0" w:after="0" w:line="17" w:lineRule="atLeast"/>
        <w:widowControl w:val="off"/>
        <w:tabs>
          <w:tab w:val="left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Продукция должна быть упакована Поставщиком таким образом, чтобы исключить ее порчу, повреждение и (или) уничтожение.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6"/>
        <w:numPr>
          <w:ilvl w:val="1"/>
          <w:numId w:val="5"/>
        </w:numPr>
        <w:ind w:left="0" w:right="40" w:firstLine="0"/>
        <w:spacing w:before="0" w:after="0" w:line="17" w:lineRule="atLeast"/>
        <w:widowControl w:val="off"/>
        <w:tabs>
          <w:tab w:val="left" w:pos="0" w:leader="none"/>
          <w:tab w:val="left" w:pos="426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Поставка Продукции осуществляется в таре и упаковке, гарантирующей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</w:t>
      </w:r>
      <w:r>
        <w:rPr>
          <w:rFonts w:ascii="Tinos" w:hAnsi="Tinos" w:eastAsia="Tinos" w:cs="Tinos"/>
          <w:sz w:val="22"/>
          <w:szCs w:val="22"/>
        </w:rPr>
        <w:t xml:space="preserve">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56"/>
        <w:numPr>
          <w:ilvl w:val="1"/>
          <w:numId w:val="5"/>
        </w:numPr>
        <w:ind w:left="0" w:right="40" w:firstLine="0"/>
        <w:spacing w:before="0" w:after="0" w:line="17" w:lineRule="atLeast"/>
        <w:widowControl w:val="off"/>
        <w:tabs>
          <w:tab w:val="left" w:pos="0" w:leader="none"/>
          <w:tab w:val="left" w:pos="426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Стоимость тары и упаковки входит в стоимость Продукции, указанную в Спецификации (Приложение № 1).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56"/>
        <w:numPr>
          <w:ilvl w:val="1"/>
          <w:numId w:val="5"/>
        </w:numPr>
        <w:ind w:left="0" w:right="40" w:firstLine="0"/>
        <w:spacing w:before="0" w:after="0" w:line="17" w:lineRule="atLeast"/>
        <w:widowControl w:val="off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продукции Покупателем.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0" w:leader="none"/>
          <w:tab w:val="left" w:pos="283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Ответственность сторон и порядок разрешения споров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60"/>
        <w:numPr>
          <w:ilvl w:val="1"/>
          <w:numId w:val="6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Поставляемая по настоящему Договору Продукция должна быть свободной от любых прав третьих лиц.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0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0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За непредставление/нарушение сроков представления заключения аттестационной комиссии на Товар (кроме случаев, когда Товар допущен к применению КДО в случаях, предусмотренных в Регламенте работы КДО) п. 4.8.5. или</w:t>
      </w:r>
      <w:r>
        <w:rPr>
          <w:rFonts w:ascii="Tinos" w:hAnsi="Tinos" w:eastAsia="Tinos" w:cs="Tinos"/>
          <w:sz w:val="22"/>
          <w:szCs w:val="22"/>
        </w:rPr>
        <w:t xml:space="preserve"> непредставление/нарушение сроко</w:t>
      </w:r>
      <w:r>
        <w:rPr>
          <w:rFonts w:ascii="Tinos" w:hAnsi="Tinos" w:eastAsia="Tinos" w:cs="Tinos"/>
          <w:sz w:val="22"/>
          <w:szCs w:val="22"/>
        </w:rPr>
        <w:t xml:space="preserve">в представления документов, предусмотренных пп. 4.8.1. – 4.8.3. 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0"/>
        <w:ind w:firstLine="0"/>
        <w:spacing w:before="0" w:after="0" w:line="17" w:lineRule="atLeast"/>
        <w:tabs>
          <w:tab w:val="num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досрочного расторжения настоящего Д</w:t>
      </w:r>
      <w:r>
        <w:rPr>
          <w:rFonts w:ascii="Tinos" w:hAnsi="Tinos" w:eastAsia="Tinos" w:cs="Tinos"/>
          <w:sz w:val="22"/>
          <w:szCs w:val="22"/>
        </w:rPr>
        <w:t xml:space="preserve">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0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неисполнения или ненадлежащего исполнения Покупател</w:t>
      </w:r>
      <w:r>
        <w:rPr>
          <w:rFonts w:ascii="Tinos" w:hAnsi="Tinos" w:eastAsia="Tinos" w:cs="Tinos"/>
          <w:sz w:val="22"/>
          <w:szCs w:val="22"/>
        </w:rPr>
        <w:t xml:space="preserve">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0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0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В случае установления факта предоставления Поставщиком недействительной независимой гарантии, Поставщик уплачивает Покупателю штраф в размере двойной Ключевой ставки Центрального Банка Российской Федерации от цены Договора</w:t>
      </w:r>
      <w:r>
        <w:rPr>
          <w:rStyle w:val="1120"/>
          <w:rFonts w:ascii="Tinos" w:hAnsi="Tinos" w:eastAsia="Tinos" w:cs="Tinos"/>
          <w:sz w:val="22"/>
          <w:szCs w:val="22"/>
          <w:highlight w:val="white"/>
          <w:shd w:val="clear" w:color="auto" w:fill="ffffff"/>
        </w:rPr>
        <w:footnoteReference w:id="3"/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60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0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0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1065"/>
          <w:rFonts w:ascii="Tinos" w:hAnsi="Tinos" w:eastAsia="Tinos" w:cs="Tinos"/>
          <w:sz w:val="22"/>
          <w:szCs w:val="22"/>
        </w:rPr>
        <w:footnoteReference w:id="4"/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0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0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Уплата пеней и штрафов производится в течение 20 (двадцати) рабочих дней со дня направления соответствующей претензии.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0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</w:t>
      </w:r>
      <w:r>
        <w:rPr>
          <w:rFonts w:ascii="Tinos" w:hAnsi="Tinos" w:eastAsia="Tinos" w:cs="Tinos"/>
          <w:sz w:val="22"/>
          <w:szCs w:val="22"/>
        </w:rPr>
        <w:t xml:space="preserve">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0"/>
        <w:numPr>
          <w:ilvl w:val="1"/>
          <w:numId w:val="6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Все споры, разногласия, претензии и требования, возникающие из настоящего Договора или прямо или косвенно связанные с н</w:t>
      </w:r>
      <w:r>
        <w:rPr>
          <w:rFonts w:ascii="Tinos" w:hAnsi="Tinos" w:eastAsia="Tinos" w:cs="Tinos"/>
          <w:sz w:val="22"/>
          <w:szCs w:val="22"/>
        </w:rPr>
        <w:t xml:space="preserve">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</w:t>
      </w:r>
      <w:r>
        <w:rPr>
          <w:rFonts w:ascii="Tinos" w:hAnsi="Tinos" w:eastAsia="Tinos" w:cs="Tinos"/>
          <w:sz w:val="22"/>
          <w:szCs w:val="22"/>
        </w:rPr>
        <w:t xml:space="preserve">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0"/>
        <w:ind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0"/>
        <w:ind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договорились, что исполнительный лист получается по месту третейского судопроизводства.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0"/>
        <w:numPr>
          <w:ilvl w:val="1"/>
          <w:numId w:val="6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0"/>
        <w:numPr>
          <w:ilvl w:val="0"/>
          <w:numId w:val="27"/>
        </w:numPr>
        <w:ind w:left="0" w:firstLine="0"/>
        <w:spacing w:before="0"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АО «Россети Сибирь Тываэнерго» - </w:t>
      </w:r>
      <w:hyperlink r:id="rId12" w:tooltip="mailto:tuvaenergo@tv.rosseti-sib.ru" w:history="1">
        <w:r>
          <w:rPr>
            <w:rStyle w:val="1069"/>
            <w:rFonts w:ascii="Tinos" w:hAnsi="Tinos" w:eastAsia="Tinos" w:cs="Tinos"/>
            <w:color w:val="00488f"/>
            <w:sz w:val="22"/>
            <w:szCs w:val="22"/>
            <w:highlight w:val="white"/>
            <w:u w:val="none"/>
          </w:rPr>
          <w:t xml:space="preserve">info@tv.rosseti-sib.ru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;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0"/>
        <w:numPr>
          <w:ilvl w:val="0"/>
          <w:numId w:val="27"/>
        </w:numPr>
        <w:ind w:left="0" w:firstLine="0"/>
        <w:spacing w:before="0"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i/>
          <w:sz w:val="22"/>
          <w:szCs w:val="22"/>
        </w:rPr>
      </w:pPr>
      <w:r>
        <w:rPr>
          <w:rFonts w:ascii="Tinos" w:hAnsi="Tinos" w:eastAsia="Tinos" w:cs="Tinos"/>
          <w:i/>
          <w:sz w:val="22"/>
          <w:szCs w:val="22"/>
        </w:rPr>
        <w:t xml:space="preserve">(наименование Стороны): (адрес электронной почты).</w:t>
      </w:r>
      <w:r>
        <w:rPr>
          <w:rFonts w:ascii="Tinos" w:hAnsi="Tinos" w:cs="Tinos"/>
          <w:i/>
          <w:sz w:val="22"/>
          <w:szCs w:val="22"/>
        </w:rPr>
      </w:r>
      <w:r>
        <w:rPr>
          <w:rFonts w:ascii="Tinos" w:hAnsi="Tinos" w:cs="Tinos"/>
          <w:i/>
          <w:sz w:val="22"/>
          <w:szCs w:val="22"/>
        </w:rPr>
      </w:r>
    </w:p>
    <w:p>
      <w:pPr>
        <w:pStyle w:val="1060"/>
        <w:numPr>
          <w:ilvl w:val="1"/>
          <w:numId w:val="6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Досудебный порядок урегулирования спора является обязательным. Срок ответа на претенз</w:t>
      </w:r>
      <w:r>
        <w:rPr>
          <w:rFonts w:ascii="Tinos" w:hAnsi="Tinos" w:eastAsia="Tinos" w:cs="Tinos"/>
          <w:sz w:val="22"/>
          <w:szCs w:val="22"/>
        </w:rPr>
        <w:t xml:space="preserve">ию - 15 (пятнадцать) календарных дней со дня ее получения. Спор по имущественным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0"/>
        <w:numPr>
          <w:ilvl w:val="1"/>
          <w:numId w:val="6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Поставщик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несет ответственность за налоговые риски, которые могут возникнуть у Покупателя при нарушении Поставщиком условий ст.54.1 НК РФ, в том числе в случае привлечения им субпоставщиков/субподрядчиков для исполнения обязательств по договору.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60"/>
        <w:ind w:left="0" w:right="0" w:firstLine="0"/>
        <w:spacing w:before="0" w:after="0" w:line="17" w:lineRule="atLeast"/>
        <w:tabs>
          <w:tab w:val="left" w:pos="0" w:leader="none"/>
          <w:tab w:val="left" w:pos="426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оставщик обязан возместить Покупателю суммы предъявленных налоговым органом претензий по результатам проведения мероприятий налогового контроля (в том числе вне рамок выездных и камеральных налоговых проверок) в соответствии с требованиями ст. 54.1 НК РФ,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в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озникших из-за установления налоговым органом признаков необоснованной налоговой выгоды, в частности, в случаях, если для целей налогообложения учтены операции (платежи) по договору не в соответствии с их действительным экономическим смыслом или учтены опе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рации, не обусловленные разумными экономическими или иными причинами (целями делового характера), не установлено исполнение обязательств по договору надлежащим лицом, иных нарушений, вытекающих из положений ст. 54.1 НК РФ. 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60"/>
        <w:ind w:left="0" w:right="0" w:firstLine="0"/>
        <w:spacing w:before="0" w:after="0" w:line="17" w:lineRule="atLeast"/>
        <w:tabs>
          <w:tab w:val="left" w:pos="0" w:leader="none"/>
          <w:tab w:val="left" w:pos="426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Основанием для возмещения Покупателю указанных сумм являются акт по результатам камеральной или выездной проверки, требование налогового органа (оформленное письмом) об устранении выявленных нарушений налогового законодательства.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60"/>
        <w:ind w:left="0" w:firstLine="0"/>
        <w:spacing w:before="0" w:after="0" w:line="17" w:lineRule="atLeast"/>
        <w:tabs>
          <w:tab w:val="left" w:pos="0" w:leader="none"/>
          <w:tab w:val="left" w:pos="426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ри наличии у Покупателя не исполненных обязательств по оплате перед Поставщиком на дату получения претензии налогового органа, Покупатель имеет право не проводить оплату Поставщику в сумме соответствующей сумме предъявленных претензий до момента их возмеще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ния Покупателю или урегулирования разногласий</w:t>
      </w:r>
      <w:r>
        <w:rPr>
          <w:rStyle w:val="1065"/>
          <w:rFonts w:ascii="Tinos" w:hAnsi="Tinos" w:eastAsia="Tinos" w:cs="Tinos"/>
          <w:sz w:val="22"/>
          <w:szCs w:val="22"/>
          <w:highlight w:val="white"/>
        </w:rPr>
        <w:footnoteReference w:id="5"/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numPr>
          <w:ilvl w:val="0"/>
          <w:numId w:val="6"/>
        </w:numPr>
        <w:ind w:left="0" w:firstLine="0"/>
        <w:jc w:val="center"/>
        <w:keepNext/>
        <w:spacing w:after="0" w:line="17" w:lineRule="atLeast"/>
        <w:tabs>
          <w:tab w:val="left" w:pos="425" w:leader="none"/>
        </w:tabs>
        <w:rPr>
          <w:rFonts w:ascii="Tinos" w:hAnsi="Tinos" w:cs="Tinos"/>
          <w:b/>
          <w:bCs/>
          <w:sz w:val="22"/>
          <w:szCs w:val="22"/>
          <w:highlight w:val="white"/>
        </w:rPr>
      </w:pPr>
      <w:r>
        <w:rPr>
          <w:rFonts w:ascii="Tinos" w:hAnsi="Tinos" w:eastAsia="Tinos" w:cs="Tinos"/>
          <w:b/>
          <w:bCs/>
          <w:sz w:val="22"/>
          <w:szCs w:val="22"/>
          <w:highlight w:val="white"/>
        </w:rPr>
        <w:t xml:space="preserve">Обеспечение исполнения обязательств</w:t>
      </w:r>
      <w:r>
        <w:rPr>
          <w:rStyle w:val="1065"/>
          <w:rFonts w:ascii="Tinos" w:hAnsi="Tinos" w:eastAsia="Tinos" w:cs="Tinos"/>
          <w:b/>
          <w:bCs/>
          <w:sz w:val="22"/>
          <w:szCs w:val="22"/>
          <w:highlight w:val="white"/>
        </w:rPr>
        <w:footnoteReference w:id="6"/>
      </w:r>
      <w:r>
        <w:rPr>
          <w:rFonts w:ascii="Tinos" w:hAnsi="Tinos" w:cs="Tinos"/>
          <w:b/>
          <w:bCs/>
          <w:sz w:val="22"/>
          <w:szCs w:val="22"/>
          <w:highlight w:val="white"/>
        </w:rPr>
      </w:r>
      <w:r>
        <w:rPr>
          <w:rFonts w:ascii="Tinos" w:hAnsi="Tinos" w:cs="Tinos"/>
          <w:b/>
          <w:bCs/>
          <w:sz w:val="22"/>
          <w:szCs w:val="22"/>
          <w:highlight w:val="white"/>
        </w:rPr>
      </w:r>
    </w:p>
    <w:p>
      <w:pPr>
        <w:jc w:val="both"/>
        <w:keepNext/>
        <w:spacing w:after="0"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7.1. Поставщик должен предоставить обеспечение исполнения обязательств по Договору</w:t>
      </w:r>
      <w:r>
        <w:rPr>
          <w:rStyle w:val="1065"/>
          <w:rFonts w:ascii="Tinos" w:hAnsi="Tinos" w:eastAsia="Tinos" w:cs="Tinos"/>
          <w:sz w:val="22"/>
          <w:szCs w:val="22"/>
          <w:highlight w:val="white"/>
        </w:rPr>
        <w:footnoteReference w:id="7"/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в соответствии с Приложением № 4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к настоящему Договору. Все расходы, связанные с предоставлением такого обеспечения, несет Поставщик.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numPr>
          <w:ilvl w:val="0"/>
          <w:numId w:val="6"/>
        </w:numPr>
        <w:ind w:left="0" w:firstLine="0"/>
        <w:jc w:val="center"/>
        <w:keepNext/>
        <w:spacing w:after="0" w:line="17" w:lineRule="atLeast"/>
        <w:tabs>
          <w:tab w:val="left" w:pos="283" w:leader="none"/>
        </w:tabs>
        <w:rPr>
          <w:rFonts w:ascii="Tinos" w:hAnsi="Tinos" w:cs="Tinos"/>
          <w:b/>
          <w:bCs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Обстоятельства непреодолимой силы</w:t>
      </w:r>
      <w:r>
        <w:rPr>
          <w:rFonts w:ascii="Tinos" w:hAnsi="Tinos" w:cs="Tinos"/>
          <w:b/>
          <w:bCs/>
          <w:sz w:val="22"/>
          <w:szCs w:val="22"/>
        </w:rPr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numPr>
          <w:ilvl w:val="1"/>
          <w:numId w:val="6"/>
        </w:numPr>
        <w:ind w:left="0" w:firstLine="0"/>
        <w:jc w:val="both"/>
        <w:keepNext/>
        <w:spacing w:after="0" w:line="17" w:lineRule="atLeast"/>
        <w:tabs>
          <w:tab w:val="left" w:pos="426" w:leader="none"/>
          <w:tab w:val="num" w:pos="709" w:leader="none"/>
          <w:tab w:val="num" w:pos="1440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tabs>
          <w:tab w:val="left" w:pos="426" w:leader="none"/>
          <w:tab w:val="num" w:pos="70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</w:t>
      </w:r>
      <w:r>
        <w:rPr>
          <w:rFonts w:ascii="Tinos" w:hAnsi="Tinos" w:eastAsia="Tinos" w:cs="Tinos"/>
          <w:sz w:val="22"/>
          <w:szCs w:val="22"/>
        </w:rPr>
        <w:t xml:space="preserve">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</w:t>
      </w:r>
      <w:r>
        <w:rPr>
          <w:rFonts w:ascii="Tinos" w:hAnsi="Tinos" w:eastAsia="Tinos" w:cs="Tinos"/>
          <w:sz w:val="22"/>
          <w:szCs w:val="22"/>
        </w:rPr>
        <w:t xml:space="preserve">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</w:t>
      </w:r>
      <w:r>
        <w:rPr>
          <w:rFonts w:ascii="Tinos" w:hAnsi="Tinos" w:eastAsia="Tinos" w:cs="Tinos"/>
          <w:sz w:val="22"/>
          <w:szCs w:val="22"/>
        </w:rPr>
        <w:t xml:space="preserve">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  <w:tab w:val="num" w:pos="70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случаях, предусмотренных в пункте 7.1.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</w:t>
      </w:r>
      <w:r>
        <w:rPr>
          <w:rFonts w:ascii="Tinos" w:hAnsi="Tinos" w:eastAsia="Tinos" w:cs="Tinos"/>
          <w:sz w:val="22"/>
          <w:szCs w:val="22"/>
        </w:rPr>
        <w:t xml:space="preserve">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6"/>
        </w:numPr>
        <w:ind w:left="0" w:firstLine="0"/>
        <w:jc w:val="both"/>
        <w:keepNext/>
        <w:spacing w:after="0" w:line="17" w:lineRule="atLeast"/>
        <w:tabs>
          <w:tab w:val="left" w:pos="426" w:leader="none"/>
          <w:tab w:val="num" w:pos="709" w:leader="none"/>
          <w:tab w:val="num" w:pos="1440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tabs>
          <w:tab w:val="left" w:pos="426" w:leader="none"/>
          <w:tab w:val="num" w:pos="70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numPr>
          <w:ilvl w:val="0"/>
          <w:numId w:val="6"/>
        </w:numPr>
        <w:ind w:left="0" w:firstLine="0"/>
        <w:jc w:val="center"/>
        <w:keepNext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b/>
          <w:bCs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Антикоррупционная оговорка</w:t>
      </w:r>
      <w:r>
        <w:rPr>
          <w:rFonts w:ascii="Tinos" w:hAnsi="Tinos" w:cs="Tinos"/>
          <w:b/>
          <w:bCs/>
          <w:sz w:val="22"/>
          <w:szCs w:val="22"/>
        </w:rPr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pStyle w:val="1080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</w:t>
      </w:r>
      <w:r>
        <w:rPr>
          <w:rFonts w:ascii="Tinos" w:hAnsi="Tinos" w:eastAsia="Tinos" w:cs="Tinos"/>
          <w:sz w:val="22"/>
          <w:szCs w:val="22"/>
        </w:rPr>
        <w:t xml:space="preserve">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адресу: </w:t>
      </w:r>
      <w:hyperlink r:id="rId13" w:tooltip="http://www.tuvaenergo.ru/buy/corruption.php" w:history="1">
        <w:r>
          <w:rPr>
            <w:rStyle w:val="1069"/>
            <w:rFonts w:ascii="Tinos" w:hAnsi="Tinos" w:eastAsia="Tinos" w:cs="Tinos"/>
            <w:sz w:val="22"/>
            <w:szCs w:val="22"/>
          </w:rPr>
          <w:t xml:space="preserve">http://www.tuvaenergo.ru/buy/corruption.php</w:t>
        </w:r>
      </w:hyperlink>
      <w:r>
        <w:rPr>
          <w:rFonts w:ascii="Tinos" w:hAnsi="Tinos" w:eastAsia="Tinos" w:cs="Tinos"/>
          <w:sz w:val="22"/>
          <w:szCs w:val="22"/>
        </w:rPr>
        <w:t xml:space="preserve">, полностью принимает положения Антик</w:t>
      </w:r>
      <w:r>
        <w:rPr>
          <w:rFonts w:ascii="Tinos" w:hAnsi="Tinos" w:eastAsia="Tinos" w:cs="Tinos"/>
          <w:sz w:val="22"/>
          <w:szCs w:val="22"/>
        </w:rPr>
        <w:t xml:space="preserve">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</w:t>
      </w:r>
      <w:r>
        <w:rPr>
          <w:rFonts w:ascii="Tinos" w:hAnsi="Tinos" w:eastAsia="Tinos" w:cs="Tinos"/>
          <w:sz w:val="22"/>
          <w:szCs w:val="22"/>
        </w:rPr>
        <w:t xml:space="preserve">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ind w:left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</w:t>
      </w:r>
      <w:r>
        <w:rPr>
          <w:rFonts w:ascii="Tinos" w:hAnsi="Tinos" w:eastAsia="Tinos" w:cs="Tinos"/>
          <w:sz w:val="22"/>
          <w:szCs w:val="22"/>
        </w:rPr>
        <w:t xml:space="preserve">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9.1 –9.3 Антикоррупционной оговорки, указанная Сторона обязуется уведомить другую Сторону в письменной форме. После письменног</w:t>
      </w:r>
      <w:r>
        <w:rPr>
          <w:rFonts w:ascii="Tinos" w:hAnsi="Tinos" w:eastAsia="Tinos" w:cs="Tinos"/>
          <w:sz w:val="22"/>
          <w:szCs w:val="22"/>
        </w:rPr>
        <w:t xml:space="preserve">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ind w:left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письменном уведомлении Сторона обязана сослаться на факты и/или предоста</w:t>
      </w:r>
      <w:r>
        <w:rPr>
          <w:rFonts w:ascii="Tinos" w:hAnsi="Tinos" w:eastAsia="Tinos" w:cs="Tinos"/>
          <w:sz w:val="22"/>
          <w:szCs w:val="22"/>
        </w:rPr>
        <w:t xml:space="preserve">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9.1, 9.2 Антикоррупционной оговорки любой из Сторон, аффилированными лицами, работниками или посредниками.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9.1, 9.2 Антикоррупционной оговорки, и обязательств воздерж</w:t>
      </w:r>
      <w:r>
        <w:rPr>
          <w:rFonts w:ascii="Tinos" w:hAnsi="Tinos" w:eastAsia="Tinos" w:cs="Tinos"/>
          <w:sz w:val="22"/>
          <w:szCs w:val="22"/>
        </w:rPr>
        <w:t xml:space="preserve">иваться от запрещенных в пункте 9.3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</w:t>
      </w:r>
      <w:r>
        <w:rPr>
          <w:rFonts w:ascii="Tinos" w:hAnsi="Tinos" w:eastAsia="Tinos" w:cs="Tinos"/>
          <w:sz w:val="22"/>
          <w:szCs w:val="22"/>
        </w:rPr>
        <w:t xml:space="preserve">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283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 Конфиденциальность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60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</w:t>
      </w:r>
      <w:r>
        <w:rPr>
          <w:rFonts w:ascii="Tinos" w:hAnsi="Tinos" w:eastAsia="Tinos" w:cs="Tinos"/>
          <w:sz w:val="22"/>
          <w:szCs w:val="22"/>
        </w:rPr>
        <w:t xml:space="preserve">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0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Требования п. 10.1.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0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0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Любой ущерб, причиненный Стороне несоблюдением требований раздела 10. настоящего Договора, подлежит полному возмещению виновной Стороной.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0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Уступка права требования</w:t>
      </w:r>
      <w:r>
        <w:rPr>
          <w:rStyle w:val="1065"/>
          <w:rFonts w:ascii="Tinos" w:hAnsi="Tinos" w:eastAsia="Tinos" w:cs="Tinos"/>
          <w:b/>
          <w:sz w:val="22"/>
          <w:szCs w:val="22"/>
        </w:rPr>
        <w:footnoteReference w:id="8"/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11.1.</w:t>
      </w:r>
      <w:r>
        <w:rPr>
          <w:rFonts w:ascii="Tinos" w:hAnsi="Tinos" w:eastAsia="Tinos" w:cs="Tinos"/>
          <w:sz w:val="22"/>
          <w:szCs w:val="22"/>
        </w:rPr>
        <w:tab/>
        <w:t xml:space="preserve"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</w:t>
      </w:r>
      <w:r>
        <w:rPr>
          <w:rFonts w:ascii="Tinos" w:hAnsi="Tinos" w:eastAsia="Tinos" w:cs="Tinos"/>
          <w:sz w:val="22"/>
          <w:szCs w:val="22"/>
        </w:rPr>
        <w:t xml:space="preserve">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11.2.</w:t>
      </w:r>
      <w:r>
        <w:rPr>
          <w:rFonts w:ascii="Tinos" w:hAnsi="Tinos" w:eastAsia="Tinos" w:cs="Tinos"/>
          <w:sz w:val="22"/>
          <w:szCs w:val="22"/>
        </w:rPr>
        <w:tab/>
        <w:t xml:space="preserve"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11.3.</w:t>
      </w:r>
      <w:r>
        <w:rPr>
          <w:rFonts w:ascii="Tinos" w:hAnsi="Tinos" w:eastAsia="Tinos" w:cs="Tinos"/>
          <w:sz w:val="22"/>
          <w:szCs w:val="22"/>
        </w:rPr>
        <w:tab/>
        <w:t xml:space="preserve">В случае переусту</w:t>
      </w:r>
      <w:r>
        <w:rPr>
          <w:rFonts w:ascii="Tinos" w:hAnsi="Tinos" w:eastAsia="Tinos" w:cs="Tinos"/>
          <w:sz w:val="22"/>
          <w:szCs w:val="22"/>
        </w:rPr>
        <w:t xml:space="preserve">пки Поставщиком права денежного требования по договору с Обществом (Покупателем) с нарушением условий, указанных в пункте 11.1 и/или 11.2, Поставщик уплачивает Обществу (Покупателю) штраф за каждое нарушение в размере 1% от стоимости заключенного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11.4.</w:t>
      </w:r>
      <w:r>
        <w:rPr>
          <w:rFonts w:ascii="Tinos" w:hAnsi="Tinos" w:eastAsia="Tinos" w:cs="Tinos"/>
          <w:sz w:val="22"/>
          <w:szCs w:val="22"/>
        </w:rPr>
        <w:tab/>
        <w:t xml:space="preserve">Куратор договора в течение 1 (одного) рабочего дня с даты получения в соответствии с п. 11.1 оригинала </w:t>
      </w:r>
      <w:r>
        <w:rPr>
          <w:rFonts w:ascii="Tinos" w:hAnsi="Tinos" w:eastAsia="Tinos" w:cs="Tinos"/>
          <w:sz w:val="22"/>
          <w:szCs w:val="22"/>
        </w:rPr>
        <w:t xml:space="preserve">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4" w:tooltip="mailto:cfd@rosseti.ru" w:history="1">
        <w:r>
          <w:rPr>
            <w:rStyle w:val="1069"/>
            <w:rFonts w:ascii="Tinos" w:hAnsi="Tinos" w:eastAsia="Tinos" w:cs="Tinos"/>
            <w:sz w:val="22"/>
            <w:szCs w:val="22"/>
          </w:rPr>
          <w:t xml:space="preserve">cfd@rosseti.ru</w:t>
        </w:r>
      </w:hyperlink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Толкование договора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60"/>
        <w:numPr>
          <w:ilvl w:val="1"/>
          <w:numId w:val="6"/>
        </w:numPr>
        <w:ind w:left="0" w:firstLine="0"/>
        <w:spacing w:before="0" w:after="0" w:line="17" w:lineRule="atLeast"/>
        <w:tabs>
          <w:tab w:val="num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0"/>
        <w:numPr>
          <w:ilvl w:val="1"/>
          <w:numId w:val="6"/>
        </w:numPr>
        <w:ind w:left="0" w:firstLine="0"/>
        <w:spacing w:before="0" w:after="0" w:line="17" w:lineRule="atLeast"/>
        <w:tabs>
          <w:tab w:val="num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Настоящий Договор в соответствии со ст. 431 ГК РФ подлежит толкованию с учетом буквального значения содержащихся в нем слов и выражений.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Особые условия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60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обязуется предоставлять Покупателю: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numPr>
          <w:ilvl w:val="0"/>
          <w:numId w:val="14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</w:t>
      </w:r>
      <w:r>
        <w:rPr>
          <w:rFonts w:ascii="Tinos" w:hAnsi="Tinos" w:eastAsia="Tinos" w:cs="Tinos"/>
          <w:sz w:val="22"/>
          <w:szCs w:val="22"/>
        </w:rPr>
        <w:t xml:space="preserve">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2 к настоящему Договору, а также в формате Excel и PDF на адрес электронной почты </w:t>
      </w:r>
      <w:hyperlink r:id="rId15" w:tooltip="mailto:EvtifevaDV@tv.rosseti-sib.ru" w:history="1">
        <w:r>
          <w:rPr>
            <w:rStyle w:val="1069"/>
            <w:rFonts w:ascii="Tinos" w:hAnsi="Tinos" w:eastAsia="Tinos" w:cs="Tinos"/>
            <w:sz w:val="22"/>
            <w:szCs w:val="22"/>
          </w:rPr>
          <w:t xml:space="preserve">Evtifeva_DV@tv.rosseti-sib.ru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numPr>
          <w:ilvl w:val="0"/>
          <w:numId w:val="14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</w:t>
      </w:r>
      <w:r>
        <w:rPr>
          <w:rFonts w:ascii="Tinos" w:hAnsi="Tinos" w:eastAsia="Tinos" w:cs="Tinos"/>
          <w:sz w:val="22"/>
          <w:szCs w:val="22"/>
        </w:rPr>
        <w:t xml:space="preserve">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6" w:tooltip="mailto:EvtifevaDV@tv.rosseti-sib.ru" w:history="1">
        <w:r>
          <w:rPr>
            <w:rStyle w:val="1069"/>
            <w:rFonts w:ascii="Tinos" w:hAnsi="Tinos" w:eastAsia="Tinos" w:cs="Tinos"/>
            <w:sz w:val="22"/>
            <w:szCs w:val="22"/>
          </w:rPr>
          <w:t xml:space="preserve">Evtifeva_DV@tv.rosseti-sib.ru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</w:t>
      </w:r>
      <w:r>
        <w:rPr>
          <w:rFonts w:ascii="Tinos" w:hAnsi="Tinos" w:eastAsia="Tinos" w:cs="Tinos"/>
          <w:sz w:val="22"/>
          <w:szCs w:val="22"/>
        </w:rPr>
        <w:t xml:space="preserve">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</w:t>
      </w:r>
      <w:r>
        <w:rPr>
          <w:rFonts w:ascii="Tinos" w:hAnsi="Tinos" w:eastAsia="Tinos" w:cs="Tinos"/>
          <w:sz w:val="22"/>
          <w:szCs w:val="22"/>
        </w:rPr>
        <w:t xml:space="preserve">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</w:t>
      </w:r>
      <w:r>
        <w:rPr>
          <w:rFonts w:ascii="Tinos" w:hAnsi="Tinos" w:eastAsia="Tinos" w:cs="Tinos"/>
          <w:sz w:val="22"/>
          <w:szCs w:val="22"/>
        </w:rPr>
        <w:t xml:space="preserve">ме, указанной в Приложении № 2 к 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7" w:tooltip="mailto:EvtifevaDV@tv.rosseti-sib.ru" w:history="1">
        <w:r>
          <w:rPr>
            <w:rStyle w:val="1069"/>
            <w:rFonts w:ascii="Tinos" w:hAnsi="Tinos" w:eastAsia="Tinos" w:cs="Tinos"/>
            <w:sz w:val="22"/>
            <w:szCs w:val="22"/>
          </w:rPr>
          <w:t xml:space="preserve">Evtifeva_DV@tv.rosseti-sib.ru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</w:t>
      </w:r>
      <w:r>
        <w:rPr>
          <w:rFonts w:ascii="Tinos" w:hAnsi="Tinos" w:eastAsia="Tinos" w:cs="Tinos"/>
          <w:sz w:val="22"/>
          <w:szCs w:val="22"/>
        </w:rPr>
        <w:t xml:space="preserve">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настоящему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0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13.1.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rFonts w:ascii="Tinos" w:hAnsi="Tinos" w:eastAsia="Tinos" w:cs="Tinos"/>
          <w:spacing w:val="-4"/>
          <w:sz w:val="22"/>
          <w:szCs w:val="22"/>
          <w:lang w:eastAsia="en-US"/>
        </w:rPr>
        <w:t xml:space="preserve">письменно уведомив об этом Поставщика</w:t>
      </w:r>
      <w:r>
        <w:rPr>
          <w:rFonts w:ascii="Tinos" w:hAnsi="Tinos" w:eastAsia="Tinos" w:cs="Tinos"/>
          <w:sz w:val="22"/>
          <w:szCs w:val="22"/>
        </w:rPr>
        <w:t xml:space="preserve">. </w:t>
      </w:r>
      <w:r>
        <w:rPr>
          <w:rFonts w:ascii="Tinos" w:hAnsi="Tinos" w:eastAsia="Tinos" w:cs="Tinos"/>
          <w:spacing w:val="-4"/>
          <w:sz w:val="22"/>
          <w:szCs w:val="22"/>
          <w:lang w:eastAsia="en-US"/>
        </w:rPr>
        <w:t xml:space="preserve"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0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гарантирует, что: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numPr>
          <w:ilvl w:val="0"/>
          <w:numId w:val="15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зарегистрирован в ЕГРЮЛ надлежащим образом;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numPr>
          <w:ilvl w:val="0"/>
          <w:numId w:val="15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numPr>
          <w:ilvl w:val="0"/>
          <w:numId w:val="15"/>
        </w:numPr>
        <w:ind w:left="0" w:right="40" w:firstLine="0"/>
        <w:jc w:val="both"/>
        <w:spacing w:after="0" w:line="17" w:lineRule="atLeast"/>
        <w:widowControl w:val="off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numPr>
          <w:ilvl w:val="0"/>
          <w:numId w:val="15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</w:t>
      </w:r>
      <w:r>
        <w:rPr>
          <w:rFonts w:ascii="Tinos" w:hAnsi="Tinos" w:eastAsia="Tinos" w:cs="Tinos"/>
          <w:sz w:val="22"/>
          <w:szCs w:val="22"/>
        </w:rPr>
        <w:t xml:space="preserve">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numPr>
          <w:ilvl w:val="0"/>
          <w:numId w:val="15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numPr>
          <w:ilvl w:val="0"/>
          <w:numId w:val="15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numPr>
          <w:ilvl w:val="0"/>
          <w:numId w:val="15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numPr>
          <w:ilvl w:val="0"/>
          <w:numId w:val="15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ведет налоговый учет и составляет на</w:t>
      </w:r>
      <w:r>
        <w:rPr>
          <w:rFonts w:ascii="Tinos" w:hAnsi="Tinos" w:eastAsia="Tinos" w:cs="Tinos"/>
          <w:sz w:val="22"/>
          <w:szCs w:val="22"/>
        </w:rPr>
        <w:t xml:space="preserve">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numPr>
          <w:ilvl w:val="0"/>
          <w:numId w:val="15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</w:rPr>
        <w:t xml:space="preserve"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</w:t>
      </w:r>
      <w:r>
        <w:rPr>
          <w:rFonts w:ascii="Tinos" w:hAnsi="Tinos" w:eastAsia="Tinos" w:cs="Tinos"/>
          <w:sz w:val="22"/>
          <w:szCs w:val="22"/>
        </w:rPr>
        <w:t xml:space="preserve"> бухгалтерской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80"/>
        <w:numPr>
          <w:ilvl w:val="0"/>
          <w:numId w:val="15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не допускает, и не является организатором, сбыта заведомо подложных счетов-фактур и(или) представления в налоговые органы подложных налоговых деклараций (расчетов)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;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80"/>
        <w:numPr>
          <w:ilvl w:val="0"/>
          <w:numId w:val="15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своевременно и в полном объеме уплачивает налоги, сборы и страховые взносы;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80"/>
        <w:numPr>
          <w:ilvl w:val="0"/>
          <w:numId w:val="15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отражает в налоговой отчетности по НДС все суммы НДС, предъявленные Покупателю;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80"/>
        <w:numPr>
          <w:ilvl w:val="0"/>
          <w:numId w:val="15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лица, подписывающие от его имени первичные документы и счета-фактуры, имеют на это все необходимые полномочия и доверенности.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60"/>
        <w:ind w:left="0" w:firstLine="0"/>
        <w:spacing w:before="0" w:after="0" w:line="17" w:lineRule="atLeast"/>
        <w:tabs>
          <w:tab w:val="num" w:pos="567" w:leader="none"/>
          <w:tab w:val="clear" w:pos="644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13.4. В качестве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подтверждения заверений и гарантий, указанных в п. 13.3. Договора, Поставщик обязан на момент поставки предоставить Покупателю Выписку из сервиса оценки юридических лиц (предусмотрена Методикой проведения оценки юридического лица на базе интерак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тивного сервиса "Личный кабинет налогоплательщика юридического лица" АИС "Налог-3").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60"/>
        <w:ind w:left="0" w:firstLine="0"/>
        <w:spacing w:before="0" w:after="0" w:line="17" w:lineRule="atLeast"/>
        <w:tabs>
          <w:tab w:val="num" w:pos="567" w:leader="none"/>
          <w:tab w:val="clear" w:pos="644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При привлечении к исполнению договора субпоставщиков/субподрядчиков, указанный выше документ, дополнительно представляется в отношении каждого привлеченного субпоставщика/субподрядчика, участвовавшего в исполнении Договора.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80"/>
        <w:numPr>
          <w:ilvl w:val="0"/>
          <w:numId w:val="15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ри выявлении объективных признаков отсутствия или недостаточности у Поставщика  (субпоставщиков/субподрядчиков при их привлечении) материально-технических и трудовых ресурсов необходимых для исполнения обязательств по договору, наличия иных факторов влекущ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их риски предъявления претензий Покупателю в соответствии со ст. 54.1 НК РФ, либо ст.173.3 НК РФ, Покупатель имеет право не осуществлять приемку Товара до момента урегулирования выявленных недостатков.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  <w:highlight w:val="none"/>
        </w:rPr>
        <w:t xml:space="preserve">13.5. </w:t>
      </w:r>
      <w:r>
        <w:rPr>
          <w:rFonts w:ascii="Tinos" w:hAnsi="Tinos" w:eastAsia="Tinos" w:cs="Tinos"/>
          <w:sz w:val="22"/>
          <w:szCs w:val="22"/>
        </w:rPr>
        <w:t xml:space="preserve">Если Поставщик нарушит гарантии (любую одну, несколько или все вместе), указанные в п. 13.3. настоящего Договора, и это повлечет: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numPr>
          <w:ilvl w:val="0"/>
          <w:numId w:val="16"/>
        </w:numPr>
        <w:ind w:left="0" w:firstLine="0"/>
        <w:jc w:val="both"/>
        <w:spacing w:after="0" w:line="17" w:lineRule="atLeast"/>
        <w:widowControl w:val="off"/>
        <w:tabs>
          <w:tab w:val="left" w:pos="283" w:leader="none"/>
          <w:tab w:val="left" w:pos="426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предъявление налоговыми органами требований к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Покупателю</w:t>
      </w:r>
      <w:r>
        <w:rPr>
          <w:rFonts w:ascii="Tinos" w:hAnsi="Tinos" w:eastAsia="Tinos" w:cs="Tinos"/>
          <w:sz w:val="22"/>
          <w:szCs w:val="22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numPr>
          <w:ilvl w:val="0"/>
          <w:numId w:val="16"/>
        </w:numPr>
        <w:ind w:left="0" w:firstLine="0"/>
        <w:jc w:val="both"/>
        <w:spacing w:after="0" w:line="17" w:lineRule="atLeast"/>
        <w:widowControl w:val="off"/>
        <w:tabs>
          <w:tab w:val="left" w:pos="283" w:leader="none"/>
          <w:tab w:val="left" w:pos="426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предъявление третьими лицами, купившими у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Покупателя</w:t>
      </w:r>
      <w:r>
        <w:rPr>
          <w:rFonts w:ascii="Tinos" w:hAnsi="Tinos" w:eastAsia="Tinos" w:cs="Tinos"/>
          <w:sz w:val="22"/>
          <w:szCs w:val="22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Покупателю</w:t>
      </w:r>
      <w:r>
        <w:rPr>
          <w:rFonts w:ascii="Tinos" w:hAnsi="Tinos" w:eastAsia="Tinos" w:cs="Tinos"/>
          <w:sz w:val="22"/>
          <w:szCs w:val="22"/>
        </w:rPr>
        <w:t xml:space="preserve"> о воз</w:t>
      </w:r>
      <w:r>
        <w:rPr>
          <w:rFonts w:ascii="Tinos" w:hAnsi="Tinos" w:eastAsia="Tinos" w:cs="Tinos"/>
          <w:sz w:val="22"/>
          <w:szCs w:val="22"/>
        </w:rPr>
        <w:t xml:space="preserve">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widowControl w:val="off"/>
        <w:tabs>
          <w:tab w:val="left" w:pos="283" w:leader="none"/>
          <w:tab w:val="left" w:pos="426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то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Поставщик</w:t>
      </w:r>
      <w:r>
        <w:rPr>
          <w:rFonts w:ascii="Tinos" w:hAnsi="Tinos" w:eastAsia="Tinos" w:cs="Tinos"/>
          <w:sz w:val="22"/>
          <w:szCs w:val="22"/>
        </w:rPr>
        <w:t xml:space="preserve"> обязуется возместить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Покупателю</w:t>
      </w:r>
      <w:r>
        <w:rPr>
          <w:rFonts w:ascii="Tinos" w:hAnsi="Tinos" w:eastAsia="Tinos" w:cs="Tinos"/>
          <w:sz w:val="22"/>
          <w:szCs w:val="22"/>
        </w:rPr>
        <w:t xml:space="preserve"> убытки, который последний понес вследствие таких нарушений.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0"/>
        <w:ind w:left="0"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pacing w:val="-2"/>
          <w:sz w:val="22"/>
          <w:szCs w:val="22"/>
        </w:rPr>
        <w:t xml:space="preserve">13.6. Поставщик</w:t>
      </w:r>
      <w:r>
        <w:rPr>
          <w:rFonts w:ascii="Tinos" w:hAnsi="Tinos" w:eastAsia="Tinos" w:cs="Tinos"/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Покупателю </w:t>
      </w:r>
      <w:r>
        <w:rPr>
          <w:rFonts w:ascii="Tinos" w:hAnsi="Tinos" w:eastAsia="Tinos" w:cs="Tinos"/>
          <w:sz w:val="22"/>
          <w:szCs w:val="22"/>
        </w:rPr>
        <w:t xml:space="preserve">все убытки последнего, возникшие в случаях, указанн</w:t>
      </w:r>
      <w:r>
        <w:rPr>
          <w:rFonts w:ascii="Tinos" w:hAnsi="Tinos" w:eastAsia="Tinos" w:cs="Tinos"/>
          <w:sz w:val="22"/>
          <w:szCs w:val="22"/>
        </w:rPr>
        <w:t xml:space="preserve">ых в п. 13.3.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Поставщика</w:t>
      </w:r>
      <w:r>
        <w:rPr>
          <w:rFonts w:ascii="Tinos" w:hAnsi="Tinos" w:eastAsia="Tinos" w:cs="Tinos"/>
          <w:sz w:val="22"/>
          <w:szCs w:val="22"/>
        </w:rPr>
        <w:t xml:space="preserve"> возместить имущественные потери.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Заключительные положения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52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2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со стороны Поставщика – _______, тел.: _______, </w:t>
      </w:r>
      <w:r>
        <w:rPr>
          <w:rFonts w:ascii="Tinos" w:hAnsi="Tinos" w:eastAsia="Tinos" w:cs="Tinos"/>
          <w:sz w:val="22"/>
          <w:szCs w:val="22"/>
          <w:lang w:val="en-US"/>
        </w:rPr>
        <w:t xml:space="preserve">e</w:t>
      </w:r>
      <w:r>
        <w:rPr>
          <w:rFonts w:ascii="Tinos" w:hAnsi="Tinos" w:eastAsia="Tinos" w:cs="Tinos"/>
          <w:sz w:val="22"/>
          <w:szCs w:val="22"/>
        </w:rPr>
        <w:t xml:space="preserve">-</w:t>
      </w:r>
      <w:r>
        <w:rPr>
          <w:rFonts w:ascii="Tinos" w:hAnsi="Tinos" w:eastAsia="Tinos" w:cs="Tinos"/>
          <w:sz w:val="22"/>
          <w:szCs w:val="22"/>
          <w:lang w:val="en-US"/>
        </w:rPr>
        <w:t xml:space="preserve">mail</w:t>
      </w:r>
      <w:r>
        <w:rPr>
          <w:rFonts w:ascii="Tinos" w:hAnsi="Tinos" w:eastAsia="Tinos" w:cs="Tinos"/>
          <w:sz w:val="22"/>
          <w:szCs w:val="22"/>
        </w:rPr>
        <w:t xml:space="preserve">: ______;</w:t>
      </w:r>
      <w:r>
        <w:rPr>
          <w:rFonts w:ascii="Tinos" w:hAnsi="Tinos" w:eastAsia="Tinos" w:cs="Tinos" w:eastAsiaTheme="minorEastAsia"/>
          <w:color w:val="0000ff"/>
          <w:sz w:val="22"/>
          <w:szCs w:val="22"/>
        </w:rPr>
        <w:t xml:space="preserve">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2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со стороны Покупателя - Батурин Николай Владимирович, тел.: +7 (39422) 9-86-54,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2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  <w:lang w:val="en-US"/>
        </w:rPr>
        <w:t xml:space="preserve">e-mail: </w:t>
      </w:r>
      <w:hyperlink r:id="rId18" w:tooltip="mailto:BaturinNV@tv.rosseti-sib.ru" w:history="1">
        <w:r>
          <w:rPr>
            <w:rStyle w:val="1069"/>
            <w:rFonts w:ascii="Tinos" w:hAnsi="Tinos" w:eastAsia="Tinos" w:cs="Tinos"/>
            <w:sz w:val="22"/>
            <w:szCs w:val="22"/>
          </w:rPr>
          <w:t xml:space="preserve">Baturin_NV@tv.rosseti-sib.ru</w:t>
        </w:r>
      </w:hyperlink>
      <w:r>
        <w:rPr>
          <w:rFonts w:ascii="Tinos" w:hAnsi="Tinos" w:eastAsia="Tinos" w:cs="Tinos"/>
          <w:sz w:val="22"/>
          <w:szCs w:val="22"/>
          <w:lang w:val="en-US"/>
        </w:rPr>
        <w:t xml:space="preserve">;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2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Кулар Аржаан Юрьевич: +7 (39422) 9-85-29,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2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  <w:lang w:val="en-US"/>
        </w:rPr>
        <w:t xml:space="preserve">e</w:t>
      </w:r>
      <w:r>
        <w:rPr>
          <w:rFonts w:ascii="Tinos" w:hAnsi="Tinos" w:eastAsia="Tinos" w:cs="Tinos"/>
          <w:sz w:val="22"/>
          <w:szCs w:val="22"/>
        </w:rPr>
        <w:t xml:space="preserve">-</w:t>
      </w:r>
      <w:r>
        <w:rPr>
          <w:rFonts w:ascii="Tinos" w:hAnsi="Tinos" w:eastAsia="Tinos" w:cs="Tinos"/>
          <w:sz w:val="22"/>
          <w:szCs w:val="22"/>
          <w:lang w:val="en-US"/>
        </w:rPr>
        <w:t xml:space="preserve">mail</w:t>
      </w:r>
      <w:r>
        <w:rPr>
          <w:rFonts w:ascii="Tinos" w:hAnsi="Tinos" w:eastAsia="Tinos" w:cs="Tinos"/>
          <w:sz w:val="22"/>
          <w:szCs w:val="22"/>
        </w:rPr>
        <w:t xml:space="preserve">: </w:t>
      </w:r>
      <w:hyperlink r:id="rId19" w:tooltip="mailto:KularAY@tv.rosseti-sib.ru" w:history="1">
        <w:r>
          <w:rPr>
            <w:rStyle w:val="1069"/>
            <w:rFonts w:ascii="Tinos" w:hAnsi="Tinos" w:eastAsia="Tinos" w:cs="Tinos"/>
            <w:sz w:val="22"/>
            <w:szCs w:val="22"/>
            <w:lang w:val="en-US"/>
          </w:rPr>
          <w:t xml:space="preserve">Kular_AY</w:t>
        </w:r>
        <w:r>
          <w:rPr>
            <w:rStyle w:val="1069"/>
            <w:rFonts w:ascii="Tinos" w:hAnsi="Tinos" w:eastAsia="Tinos" w:cs="Tinos"/>
            <w:sz w:val="22"/>
            <w:szCs w:val="22"/>
          </w:rPr>
          <w:t xml:space="preserve">@</w:t>
        </w:r>
        <w:r>
          <w:rPr>
            <w:rStyle w:val="1069"/>
            <w:rFonts w:ascii="Tinos" w:hAnsi="Tinos" w:eastAsia="Tinos" w:cs="Tinos"/>
            <w:sz w:val="22"/>
            <w:szCs w:val="22"/>
            <w:lang w:val="en-US"/>
          </w:rPr>
          <w:t xml:space="preserve">tv</w:t>
        </w:r>
        <w:r>
          <w:rPr>
            <w:rStyle w:val="1069"/>
            <w:rFonts w:ascii="Tinos" w:hAnsi="Tinos" w:eastAsia="Tinos" w:cs="Tinos"/>
            <w:sz w:val="22"/>
            <w:szCs w:val="22"/>
          </w:rPr>
          <w:t xml:space="preserve">.</w:t>
        </w:r>
        <w:r>
          <w:rPr>
            <w:rStyle w:val="1069"/>
            <w:rFonts w:ascii="Tinos" w:hAnsi="Tinos" w:eastAsia="Tinos" w:cs="Tinos"/>
            <w:sz w:val="22"/>
            <w:szCs w:val="22"/>
            <w:lang w:val="en-US"/>
          </w:rPr>
          <w:t xml:space="preserve">rosseti</w:t>
        </w:r>
        <w:r>
          <w:rPr>
            <w:rStyle w:val="1069"/>
            <w:rFonts w:ascii="Tinos" w:hAnsi="Tinos" w:eastAsia="Tinos" w:cs="Tinos"/>
            <w:sz w:val="22"/>
            <w:szCs w:val="22"/>
          </w:rPr>
          <w:t xml:space="preserve">-</w:t>
        </w:r>
        <w:r>
          <w:rPr>
            <w:rStyle w:val="1069"/>
            <w:rFonts w:ascii="Tinos" w:hAnsi="Tinos" w:eastAsia="Tinos" w:cs="Tinos"/>
            <w:sz w:val="22"/>
            <w:szCs w:val="22"/>
            <w:lang w:val="en-US"/>
          </w:rPr>
          <w:t xml:space="preserve">sib</w:t>
        </w:r>
        <w:r>
          <w:rPr>
            <w:rStyle w:val="1069"/>
            <w:rFonts w:ascii="Tinos" w:hAnsi="Tinos" w:eastAsia="Tinos" w:cs="Tinos"/>
            <w:sz w:val="22"/>
            <w:szCs w:val="22"/>
          </w:rPr>
          <w:t xml:space="preserve">.</w:t>
        </w:r>
        <w:r>
          <w:rPr>
            <w:rStyle w:val="1069"/>
            <w:rFonts w:ascii="Tinos" w:hAnsi="Tinos" w:eastAsia="Tinos" w:cs="Tinos"/>
            <w:sz w:val="22"/>
            <w:szCs w:val="22"/>
            <w:lang w:val="en-US"/>
          </w:rPr>
          <w:t xml:space="preserve">ru</w:t>
        </w:r>
      </w:hyperlink>
      <w:r>
        <w:rPr>
          <w:rFonts w:ascii="Tinos" w:hAnsi="Tinos" w:eastAsia="Tinos" w:cs="Tinos"/>
          <w:sz w:val="22"/>
          <w:szCs w:val="22"/>
        </w:rPr>
        <w:t xml:space="preserve">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2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Часы работы: Пн. – Пт. с 8:00-17:00.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невыполне</w:t>
      </w:r>
      <w:r>
        <w:rPr>
          <w:rFonts w:ascii="Tinos" w:hAnsi="Tinos" w:eastAsia="Tinos" w:cs="Tinos"/>
          <w:sz w:val="22"/>
          <w:szCs w:val="22"/>
        </w:rPr>
        <w:t xml:space="preserve">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0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Настоящий Договор вступает в силу с момента его подписания Сторонами и действует до полного исполнения сторонами своих обязательств.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0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Настоящий Договор со всеми его дополнительными соглашени</w:t>
      </w:r>
      <w:r>
        <w:rPr>
          <w:rFonts w:ascii="Tinos" w:hAnsi="Tinos" w:eastAsia="Tinos" w:cs="Tinos"/>
          <w:bCs/>
          <w:sz w:val="22"/>
          <w:szCs w:val="22"/>
        </w:rPr>
        <w:t xml:space="preserve">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0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0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0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0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pacing w:val="-4"/>
          <w:sz w:val="22"/>
          <w:szCs w:val="22"/>
        </w:rPr>
        <w:t xml:space="preserve"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rFonts w:ascii="Tinos" w:hAnsi="Tinos" w:eastAsia="Tinos" w:cs="Tinos"/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20" w:tooltip="mailto:EvtifevaDV@tv.rosseti-sib.ru" w:history="1">
        <w:r>
          <w:rPr>
            <w:rStyle w:val="1069"/>
            <w:rFonts w:ascii="Tinos" w:hAnsi="Tinos" w:eastAsia="Tinos" w:cs="Tinos"/>
            <w:sz w:val="22"/>
            <w:szCs w:val="22"/>
          </w:rPr>
          <w:t xml:space="preserve">Evtifeva_DV@tv.rosseti-sib.ru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, </w:t>
      </w:r>
      <w:hyperlink r:id="rId21" w:tooltip="mailto:BaturinNV@tv.rosseti-sib.ru" w:history="1">
        <w:r>
          <w:rPr>
            <w:rStyle w:val="1069"/>
            <w:rFonts w:ascii="Tinos" w:hAnsi="Tinos" w:eastAsia="Tinos" w:cs="Tinos"/>
            <w:sz w:val="22"/>
            <w:szCs w:val="22"/>
          </w:rPr>
          <w:t xml:space="preserve">Baturin_NV@tv.rosseti-sib.ru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, </w:t>
      </w:r>
      <w:r>
        <w:rPr>
          <w:rFonts w:ascii="Tinos" w:hAnsi="Tinos" w:eastAsia="Tinos" w:cs="Tinos"/>
          <w:color w:val="0000ff"/>
          <w:sz w:val="22"/>
          <w:szCs w:val="22"/>
          <w:u w:val="single"/>
        </w:rPr>
        <w:t xml:space="preserve">Kular_AY@tv.rosseti-sib.ru</w:t>
      </w:r>
      <w:r>
        <w:rPr>
          <w:rFonts w:ascii="Tinos" w:hAnsi="Tinos" w:eastAsia="Tinos" w:cs="Tinos"/>
          <w:sz w:val="22"/>
          <w:szCs w:val="22"/>
        </w:rPr>
        <w:t xml:space="preserve"> на адрес электронной почты Поставщика: _______ 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22" w:tooltip="mailto:EvtifevaDV@tv.rosseti-sib.ru" w:history="1">
        <w:r>
          <w:rPr>
            <w:rStyle w:val="1069"/>
            <w:rFonts w:ascii="Tinos" w:hAnsi="Tinos" w:eastAsia="Tinos" w:cs="Tinos"/>
            <w:sz w:val="22"/>
            <w:szCs w:val="22"/>
          </w:rPr>
          <w:t xml:space="preserve">Evtifeva_DV@tv.rosseti-sib.ru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, </w:t>
      </w:r>
      <w:hyperlink r:id="rId23" w:tooltip="mailto:BaturinNV@tv.rosseti-sib.ru" w:history="1">
        <w:r>
          <w:rPr>
            <w:rStyle w:val="1069"/>
            <w:rFonts w:ascii="Tinos" w:hAnsi="Tinos" w:eastAsia="Tinos" w:cs="Tinos"/>
            <w:sz w:val="22"/>
            <w:szCs w:val="22"/>
          </w:rPr>
          <w:t xml:space="preserve">Baturin_NV@tv.rosseti-sib.ru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, </w:t>
      </w:r>
      <w:r>
        <w:rPr>
          <w:rFonts w:ascii="Tinos" w:hAnsi="Tinos" w:eastAsia="Tinos" w:cs="Tinos"/>
          <w:color w:val="0000ff"/>
          <w:sz w:val="22"/>
          <w:szCs w:val="22"/>
          <w:u w:val="single"/>
        </w:rPr>
        <w:t xml:space="preserve">Kular_AY@tv.rosseti-sib.ru</w:t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0"/>
        <w:ind w:firstLine="0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0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709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Вопросы, не урегулированные настоящим Договором, регламентируются нормами законодательства Российской Федерации.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0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70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Все указанные в настоящем Договоре приложения являются его неотъемлемой частью.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0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709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Договор составлен на русском языке в 2 (двух) экземплярах, имеющих равную юридическую силу, по одному для каждой из Сторон.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0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709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случае прекращения деятельно</w:t>
      </w:r>
      <w:r>
        <w:rPr>
          <w:rFonts w:ascii="Tinos" w:hAnsi="Tinos" w:eastAsia="Tinos" w:cs="Tinos"/>
          <w:sz w:val="22"/>
          <w:szCs w:val="22"/>
        </w:rPr>
        <w:t xml:space="preserve">сти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Приложения к Договору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Приложение № 1. Спецификация.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Приложение № 2. Информация о собственниках контрагента (включая конечных бенефициаров).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Приложение № 3. Согласие на обработку персональных данных (форма).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Приложение № 4. Условия предоставления обеспечения исполнения обязательств при аномально низкой цене.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38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16.  Юридические адреса и реквизиты сторон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tbl>
      <w:tblPr>
        <w:tblW w:w="10205" w:type="dxa"/>
        <w:tblLayout w:type="fixed"/>
        <w:tblLook w:val="04A0" w:firstRow="1" w:lastRow="0" w:firstColumn="1" w:lastColumn="0" w:noHBand="0" w:noVBand="1"/>
      </w:tblPr>
      <w:tblGrid>
        <w:gridCol w:w="5102"/>
        <w:gridCol w:w="5102"/>
      </w:tblGrid>
      <w:tr>
        <w:tblPrEx/>
        <w:trPr>
          <w:trHeight w:val="3465"/>
        </w:trPr>
        <w:tc>
          <w:tcPr>
            <w:tcW w:w="5102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Покупатель: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АО «Россети Сибирь Тываэнерго»</w:t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pStyle w:val="1070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Адрес юридический: 667001, Республика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70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Тыва, г. Кызыл, ул. Рабочая, 4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70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Адрес почтовый</w:t>
            </w:r>
            <w:r>
              <w:rPr>
                <w:rFonts w:ascii="Tinos" w:hAnsi="Tinos" w:eastAsia="Tinos" w:cs="Tinos"/>
                <w:b/>
                <w:sz w:val="22"/>
                <w:szCs w:val="22"/>
              </w:rPr>
              <w:t xml:space="preserve">: </w:t>
            </w:r>
            <w:r>
              <w:rPr>
                <w:rFonts w:ascii="Tinos" w:hAnsi="Tinos" w:eastAsia="Tinos" w:cs="Tinos"/>
                <w:sz w:val="22"/>
                <w:szCs w:val="22"/>
              </w:rPr>
              <w:t xml:space="preserve">667001, Республика Тыва,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70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г. Кызыл, ул. Рабочая, 4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70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ИНН/КПП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1701029232 /170101001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</w:p>
          <w:p>
            <w:pPr>
              <w:pStyle w:val="1070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Р/с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40702810865000001852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</w:p>
          <w:p>
            <w:pPr>
              <w:pStyle w:val="1070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в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КРАСНОЯРСКОЕ ОТДЕЛЕНИЕ №8646 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</w:p>
          <w:p>
            <w:pPr>
              <w:pStyle w:val="1070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ПАО СБЕРБАНК г. КРАСНОЯРСК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70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К/с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30101810800000000627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70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БИК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040407627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ОГРН 1021700509566</w:t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_____________________/ А.И. Таранков /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Поставщик: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Адрес юридический: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Адрес почтовый: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ИНН/КПП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Р/с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К/с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БИК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ОГРН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  <w:t xml:space="preserve">ОКПО</w:t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  <w:t xml:space="preserve">_____________________/  /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</w:tr>
      <w:tr>
        <w:tblPrEx/>
        <w:trPr>
          <w:trHeight w:val="202"/>
        </w:trPr>
        <w:tc>
          <w:tcPr>
            <w:tcW w:w="5102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sz w:val="22"/>
                <w:szCs w:val="22"/>
              </w:rPr>
              <w:t xml:space="preserve">М.П.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sz w:val="22"/>
                <w:szCs w:val="22"/>
              </w:rPr>
              <w:t xml:space="preserve">М.П.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</w:tr>
      <w:tr>
        <w:tblPrEx/>
        <w:trPr>
          <w:trHeight w:val="679"/>
        </w:trPr>
        <w:tc>
          <w:tcPr>
            <w:tcW w:w="5102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«_____»_____________20___г.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«_____»_____________20___г.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</w:tr>
    </w:tbl>
    <w:p>
      <w:pPr>
        <w:pStyle w:val="1062"/>
        <w:numPr>
          <w:ilvl w:val="0"/>
          <w:numId w:val="0"/>
        </w:numPr>
        <w:keepNext w:val="0"/>
        <w:spacing w:before="0" w:after="0"/>
        <w:rPr>
          <w:b w:val="0"/>
          <w:caps w:val="0"/>
          <w:sz w:val="22"/>
          <w:szCs w:val="22"/>
        </w:rPr>
        <w:sectPr>
          <w:footerReference w:type="default" r:id="rId9"/>
          <w:footnotePr/>
          <w:endnotePr/>
          <w:type w:val="nextPage"/>
          <w:pgSz w:w="11906" w:h="16838" w:orient="portrait"/>
          <w:pgMar w:top="709" w:right="851" w:bottom="851" w:left="850" w:header="709" w:footer="709" w:gutter="0"/>
          <w:cols w:num="1" w:sep="0" w:space="708" w:equalWidth="1"/>
          <w:docGrid w:linePitch="360"/>
        </w:sectPr>
      </w:pPr>
      <w:r>
        <w:rPr>
          <w:b w:val="0"/>
          <w:caps w:val="0"/>
          <w:sz w:val="22"/>
          <w:szCs w:val="22"/>
        </w:rPr>
      </w:r>
      <w:r>
        <w:rPr>
          <w:b w:val="0"/>
          <w:caps w:val="0"/>
          <w:sz w:val="22"/>
          <w:szCs w:val="22"/>
        </w:rPr>
      </w:r>
      <w:r>
        <w:rPr>
          <w:b w:val="0"/>
          <w:caps w:val="0"/>
          <w:sz w:val="22"/>
          <w:szCs w:val="22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</w:p>
    <w:p>
      <w:pPr>
        <w:ind w:left="6237"/>
        <w:spacing w:after="0" w:line="17" w:lineRule="atLeast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b/>
          <w:sz w:val="20"/>
          <w:szCs w:val="20"/>
        </w:rPr>
        <w:t xml:space="preserve">                                          </w:t>
      </w:r>
      <w:r>
        <w:rPr>
          <w:rFonts w:ascii="Tinos" w:hAnsi="Tinos" w:eastAsia="Tinos" w:cs="Tinos"/>
          <w:sz w:val="20"/>
          <w:szCs w:val="20"/>
        </w:rPr>
        <w:t xml:space="preserve">Приложение № 1</w:t>
      </w: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right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                                                               к Договору </w:t>
      </w:r>
      <w:r>
        <w:rPr>
          <w:rFonts w:ascii="Tinos" w:hAnsi="Tinos" w:eastAsia="Tinos" w:cs="Tinos"/>
          <w:sz w:val="20"/>
          <w:szCs w:val="20"/>
        </w:rPr>
        <w:t xml:space="preserve">№________________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62"/>
        <w:numPr>
          <w:ilvl w:val="0"/>
          <w:numId w:val="0"/>
        </w:numPr>
        <w:jc w:val="right"/>
        <w:keepNext w:val="0"/>
        <w:spacing w:before="0" w:after="0" w:line="17" w:lineRule="atLeast"/>
        <w:rPr>
          <w:rFonts w:ascii="Tinos" w:hAnsi="Tinos" w:cs="Tinos"/>
          <w:b w:val="0"/>
          <w:sz w:val="20"/>
          <w:szCs w:val="20"/>
        </w:rPr>
      </w:pPr>
      <w:r>
        <w:rPr>
          <w:rFonts w:ascii="Tinos" w:hAnsi="Tinos" w:eastAsia="Tinos" w:cs="Tinos"/>
          <w:b w:val="0"/>
          <w:caps w:val="0"/>
          <w:sz w:val="20"/>
          <w:szCs w:val="20"/>
        </w:rPr>
        <w:t xml:space="preserve">                  от "____" __________ 20___г</w:t>
      </w:r>
      <w:r>
        <w:rPr>
          <w:rFonts w:ascii="Tinos" w:hAnsi="Tinos" w:cs="Tinos"/>
          <w:b w:val="0"/>
          <w:sz w:val="20"/>
          <w:szCs w:val="20"/>
        </w:rPr>
      </w:r>
      <w:r>
        <w:rPr>
          <w:rFonts w:ascii="Tinos" w:hAnsi="Tinos" w:cs="Tinos"/>
          <w:b w:val="0"/>
          <w:sz w:val="20"/>
          <w:szCs w:val="20"/>
        </w:rPr>
      </w:r>
    </w:p>
    <w:p>
      <w:pPr>
        <w:jc w:val="center"/>
        <w:spacing w:after="0" w:line="17" w:lineRule="atLeast"/>
        <w:widowControl w:val="off"/>
        <w:rPr>
          <w:rFonts w:ascii="Tinos" w:hAnsi="Tinos" w:cs="Tinos"/>
          <w:bCs/>
          <w:sz w:val="20"/>
          <w:szCs w:val="20"/>
        </w:rPr>
        <w:suppressLineNumbers/>
      </w:pPr>
      <w:r>
        <w:rPr>
          <w:rFonts w:ascii="Tinos" w:hAnsi="Tinos" w:eastAsia="Tinos" w:cs="Tinos"/>
          <w:bCs/>
          <w:sz w:val="20"/>
          <w:szCs w:val="20"/>
        </w:rPr>
      </w:r>
      <w:r>
        <w:rPr>
          <w:rFonts w:ascii="Tinos" w:hAnsi="Tinos" w:cs="Tinos"/>
          <w:bCs/>
          <w:sz w:val="20"/>
          <w:szCs w:val="20"/>
        </w:rPr>
      </w:r>
      <w:r>
        <w:rPr>
          <w:rFonts w:ascii="Tinos" w:hAnsi="Tinos" w:cs="Tinos"/>
          <w:bCs/>
          <w:sz w:val="20"/>
          <w:szCs w:val="20"/>
        </w:rPr>
      </w:r>
    </w:p>
    <w:p>
      <w:pPr>
        <w:jc w:val="center"/>
        <w:spacing w:after="0" w:line="17" w:lineRule="atLeast"/>
        <w:widowControl w:val="off"/>
        <w:rPr>
          <w:rFonts w:ascii="Tinos" w:hAnsi="Tinos" w:cs="Tinos"/>
          <w:bCs/>
          <w:sz w:val="20"/>
          <w:szCs w:val="20"/>
        </w:rPr>
        <w:suppressLineNumbers/>
      </w:pPr>
      <w:r>
        <w:rPr>
          <w:rFonts w:ascii="Tinos" w:hAnsi="Tinos" w:eastAsia="Tinos" w:cs="Tinos"/>
          <w:bCs/>
          <w:sz w:val="20"/>
          <w:szCs w:val="20"/>
        </w:rPr>
      </w:r>
      <w:r>
        <w:rPr>
          <w:rFonts w:ascii="Tinos" w:hAnsi="Tinos" w:cs="Tinos"/>
          <w:bCs/>
          <w:sz w:val="20"/>
          <w:szCs w:val="20"/>
        </w:rPr>
      </w:r>
      <w:r>
        <w:rPr>
          <w:rFonts w:ascii="Tinos" w:hAnsi="Tinos" w:cs="Tinos"/>
          <w:bCs/>
          <w:sz w:val="20"/>
          <w:szCs w:val="20"/>
        </w:rPr>
      </w:r>
    </w:p>
    <w:p>
      <w:pPr>
        <w:jc w:val="center"/>
        <w:spacing w:after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eastAsia="Tinos" w:cs="Tinos"/>
          <w:bCs/>
        </w:rPr>
        <w:t xml:space="preserve">СПЕЦИФИКАЦИЯ №______от _______20__г.</w:t>
      </w:r>
      <w:r>
        <w:rPr>
          <w:rFonts w:ascii="Tinos" w:hAnsi="Tinos" w:cs="Tinos"/>
          <w:bCs/>
        </w:rPr>
      </w:r>
      <w:r>
        <w:rPr>
          <w:rFonts w:ascii="Tinos" w:hAnsi="Tinos" w:cs="Tinos"/>
          <w:bCs/>
        </w:rPr>
      </w:r>
    </w:p>
    <w:p>
      <w:pPr>
        <w:jc w:val="center"/>
        <w:spacing w:after="0" w:line="17" w:lineRule="atLeast"/>
        <w:widowControl w:val="off"/>
        <w:rPr>
          <w:rFonts w:ascii="Tinos" w:hAnsi="Tinos" w:cs="Tinos"/>
          <w:bCs/>
          <w:sz w:val="20"/>
          <w:szCs w:val="20"/>
        </w:rPr>
        <w:suppressLineNumbers/>
      </w:pPr>
      <w:r>
        <w:rPr>
          <w:rFonts w:ascii="Tinos" w:hAnsi="Tinos" w:eastAsia="Tinos" w:cs="Tinos"/>
          <w:bCs/>
        </w:rPr>
        <w:t xml:space="preserve">к Договору поставки № _____________от_______20__г.</w:t>
      </w:r>
      <w:r>
        <w:rPr>
          <w:rFonts w:ascii="Tinos" w:hAnsi="Tinos" w:cs="Tinos"/>
          <w:bCs/>
          <w:sz w:val="20"/>
          <w:szCs w:val="20"/>
        </w:rPr>
      </w:r>
      <w:r>
        <w:rPr>
          <w:rFonts w:ascii="Tinos" w:hAnsi="Tinos" w:cs="Tinos"/>
          <w:bCs/>
          <w:sz w:val="20"/>
          <w:szCs w:val="20"/>
        </w:rPr>
      </w:r>
    </w:p>
    <w:tbl>
      <w:tblPr>
        <w:tblpPr w:horzAnchor="margin" w:tblpXSpec="center" w:vertAnchor="text" w:tblpY="139" w:leftFromText="180" w:topFromText="0" w:rightFromText="180" w:bottomFromText="0"/>
        <w:tblW w:w="1027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1242"/>
        <w:gridCol w:w="1843"/>
        <w:gridCol w:w="1417"/>
        <w:gridCol w:w="1276"/>
        <w:gridCol w:w="850"/>
        <w:gridCol w:w="886"/>
        <w:gridCol w:w="1063"/>
        <w:gridCol w:w="1134"/>
      </w:tblGrid>
      <w:tr>
        <w:tblPrEx/>
        <w:trPr/>
        <w:tc>
          <w:tcPr>
            <w:tcW w:w="56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№ п/п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24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Номенклатурный №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Наименование, характеристика (комплектация) ТМЦ и оборудования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Страна происхождения товара, и производитель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Номер реестровой записи (при наличии)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Ед.</w:t>
            </w: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br/>
              <w:t xml:space="preserve">изм.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88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Кол-во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06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Цена,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без НДС руб.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Сумма,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без НДС, руб.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</w: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3414330055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</w: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Ограничитель ОПН-П-35/42/10/550 УХЛ1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шт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  <w:t xml:space="preserve">3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063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68"/>
        </w:trPr>
        <w:tc>
          <w:tcPr>
            <w:gridSpan w:val="8"/>
            <w:tcW w:w="9139" w:type="dxa"/>
            <w:vAlign w:val="center"/>
            <w:textDirection w:val="lrTb"/>
            <w:noWrap w:val="false"/>
          </w:tcPr>
          <w:p>
            <w:pPr>
              <w:jc w:val="right"/>
              <w:spacing w:after="0" w:line="17" w:lineRule="atLeas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Итого общая сумма,  руб.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</w:tr>
      <w:tr>
        <w:tblPrEx/>
        <w:trPr>
          <w:trHeight w:val="273"/>
        </w:trPr>
        <w:tc>
          <w:tcPr>
            <w:gridSpan w:val="8"/>
            <w:tcW w:w="9139" w:type="dxa"/>
            <w:vAlign w:val="center"/>
            <w:textDirection w:val="lrTb"/>
            <w:noWrap w:val="false"/>
          </w:tcPr>
          <w:p>
            <w:pPr>
              <w:jc w:val="right"/>
              <w:spacing w:after="0" w:line="17" w:lineRule="atLeas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Сумма НДС, руб.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76"/>
        </w:trPr>
        <w:tc>
          <w:tcPr>
            <w:gridSpan w:val="8"/>
            <w:tcW w:w="9139" w:type="dxa"/>
            <w:vAlign w:val="center"/>
            <w:textDirection w:val="lrTb"/>
            <w:noWrap w:val="false"/>
          </w:tcPr>
          <w:p>
            <w:pPr>
              <w:jc w:val="right"/>
              <w:spacing w:after="0" w:line="17" w:lineRule="atLeas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Общая сумма с НДС, руб.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</w:tbl>
    <w:p>
      <w:pPr>
        <w:pStyle w:val="1060"/>
        <w:ind w:firstLine="0"/>
        <w:jc w:val="left"/>
        <w:spacing w:before="0" w:after="0" w:line="17" w:lineRule="atLeast"/>
        <w:widowControl w:val="off"/>
        <w:tabs>
          <w:tab w:val="left" w:pos="142" w:leader="none"/>
          <w:tab w:val="left" w:pos="283" w:leader="none"/>
          <w:tab w:val="left" w:pos="10435" w:leader="none"/>
        </w:tabs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60"/>
        <w:ind w:firstLine="0"/>
        <w:jc w:val="left"/>
        <w:spacing w:before="0" w:after="0" w:line="17" w:lineRule="atLeast"/>
        <w:widowControl w:val="off"/>
        <w:tabs>
          <w:tab w:val="left" w:pos="10435" w:leader="none"/>
        </w:tabs>
        <w:rPr>
          <w:rFonts w:ascii="Tinos" w:hAnsi="Tinos" w:cs="Tinos"/>
          <w:b/>
          <w:i/>
          <w:sz w:val="22"/>
          <w:szCs w:val="22"/>
        </w:rPr>
      </w:pPr>
      <w:r>
        <w:rPr>
          <w:rFonts w:ascii="Tinos" w:hAnsi="Tinos" w:eastAsia="Tinos" w:cs="Tinos"/>
          <w:sz w:val="20"/>
          <w:szCs w:val="20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   </w:t>
      </w:r>
      <w:r>
        <w:rPr>
          <w:rFonts w:ascii="Tinos" w:hAnsi="Tinos" w:eastAsia="Tinos" w:cs="Tinos"/>
          <w:sz w:val="22"/>
          <w:szCs w:val="22"/>
        </w:rPr>
        <w:t xml:space="preserve">Срок поставки: </w:t>
      </w:r>
      <w:r>
        <w:rPr>
          <w:rFonts w:ascii="Tinos" w:hAnsi="Tinos" w:eastAsia="Tinos" w:cs="Tinos"/>
          <w:sz w:val="22"/>
          <w:szCs w:val="22"/>
        </w:rPr>
        <w:t xml:space="preserve">в период с </w:t>
      </w:r>
      <w:r>
        <w:rPr>
          <w:rFonts w:ascii="Tinos" w:hAnsi="Tinos" w:eastAsia="Tinos" w:cs="Tinos"/>
          <w:sz w:val="22"/>
          <w:szCs w:val="22"/>
        </w:rPr>
        <w:t xml:space="preserve">01.04.2026 г. по 30.04.2026</w:t>
      </w:r>
      <w:r>
        <w:rPr>
          <w:rFonts w:ascii="Tinos" w:hAnsi="Tinos" w:eastAsia="Tinos" w:cs="Tinos"/>
          <w:sz w:val="22"/>
          <w:szCs w:val="22"/>
        </w:rPr>
        <w:t xml:space="preserve"> г</w:t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b/>
          <w:i/>
          <w:sz w:val="22"/>
          <w:szCs w:val="22"/>
        </w:rPr>
      </w:r>
      <w:r>
        <w:rPr>
          <w:rFonts w:ascii="Tinos" w:hAnsi="Tinos" w:cs="Tinos"/>
          <w:b/>
          <w:i/>
          <w:sz w:val="22"/>
          <w:szCs w:val="22"/>
        </w:rPr>
      </w:r>
    </w:p>
    <w:p>
      <w:pPr>
        <w:spacing w:after="0" w:line="17" w:lineRule="atLeast"/>
        <w:widowControl w:val="off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   Способ поставки товара - транспортом Поставщика: Центральный склад, г. Кызыл, ул. Колхозная 2Б</w:t>
      </w:r>
      <w:r>
        <w:rPr>
          <w:rFonts w:ascii="Tinos" w:hAnsi="Tinos" w:eastAsia="Tinos" w:cs="Tinos"/>
          <w:i/>
          <w:iCs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spacing w:after="0" w:line="17" w:lineRule="atLeast"/>
        <w:widowControl w:val="off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   Транспортные расходы учтены в стоимости товара. Стоимость тары учтена в стоимости товара.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eastAsia="Tinos" w:cs="Tinos"/>
          <w:bCs/>
        </w:rPr>
        <w:t xml:space="preserve">    </w:t>
      </w:r>
      <w:r>
        <w:rPr>
          <w:rFonts w:ascii="Tinos" w:hAnsi="Tinos" w:cs="Tinos"/>
          <w:bCs/>
        </w:rPr>
      </w:r>
      <w:r>
        <w:rPr>
          <w:rFonts w:ascii="Tinos" w:hAnsi="Tinos" w:cs="Tinos"/>
          <w:bCs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eastAsia="Tinos" w:cs="Tinos"/>
          <w:bCs/>
        </w:rPr>
        <w:t xml:space="preserve">    </w:t>
      </w:r>
      <w:r>
        <w:rPr>
          <w:rFonts w:ascii="Tinos" w:hAnsi="Tinos" w:cs="Tinos"/>
          <w:bCs/>
        </w:rPr>
      </w:r>
      <w:r>
        <w:rPr>
          <w:rFonts w:ascii="Tinos" w:hAnsi="Tinos" w:cs="Tinos"/>
          <w:bCs/>
        </w:rPr>
      </w:r>
    </w:p>
    <w:p>
      <w:pPr>
        <w:spacing w:after="0" w:line="17" w:lineRule="atLeast"/>
        <w:widowControl w:val="off"/>
        <w:tabs>
          <w:tab w:val="left" w:pos="142" w:leader="none"/>
        </w:tabs>
        <w:rPr>
          <w:rFonts w:ascii="Tinos" w:hAnsi="Tinos" w:cs="Tinos"/>
          <w:bCs/>
        </w:rPr>
        <w:suppressLineNumbers/>
      </w:pPr>
      <w:r>
        <w:rPr>
          <w:rFonts w:ascii="Tinos" w:hAnsi="Tinos" w:eastAsia="Tinos" w:cs="Tinos"/>
          <w:bCs/>
        </w:rPr>
        <w:t xml:space="preserve">   ПОКУПАТЕЛЬ                </w:t>
      </w:r>
      <w:r>
        <w:rPr>
          <w:rFonts w:ascii="Tinos" w:hAnsi="Tinos" w:eastAsia="Tinos" w:cs="Tinos"/>
          <w:bCs/>
        </w:rPr>
        <w:tab/>
        <w:t xml:space="preserve">                                           ПОСТАВЩИК</w:t>
      </w:r>
      <w:r>
        <w:rPr>
          <w:rFonts w:ascii="Tinos" w:hAnsi="Tinos" w:cs="Tinos"/>
          <w:bCs/>
        </w:rPr>
      </w:r>
      <w:r>
        <w:rPr>
          <w:rFonts w:ascii="Tinos" w:hAnsi="Tinos" w:cs="Tinos"/>
          <w:bCs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eastAsia="Tinos" w:cs="Tinos"/>
          <w:bCs/>
        </w:rPr>
      </w:r>
      <w:r>
        <w:rPr>
          <w:rFonts w:ascii="Tinos" w:hAnsi="Tinos" w:cs="Tinos"/>
          <w:bCs/>
        </w:rPr>
      </w:r>
      <w:r>
        <w:rPr>
          <w:rFonts w:ascii="Tinos" w:hAnsi="Tinos" w:cs="Tinos"/>
          <w:bCs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eastAsia="Tinos" w:cs="Tinos"/>
          <w:bCs/>
        </w:rPr>
      </w:r>
      <w:r>
        <w:rPr>
          <w:rFonts w:ascii="Tinos" w:hAnsi="Tinos" w:cs="Tinos"/>
          <w:bCs/>
        </w:rPr>
      </w:r>
      <w:r>
        <w:rPr>
          <w:rFonts w:ascii="Tinos" w:hAnsi="Tinos" w:cs="Tinos"/>
          <w:bCs/>
        </w:rPr>
      </w:r>
    </w:p>
    <w:p>
      <w:pPr>
        <w:spacing w:after="0" w:line="17" w:lineRule="atLeast"/>
        <w:widowControl w:val="off"/>
        <w:rPr>
          <w:rFonts w:ascii="Tinos" w:hAnsi="Tinos" w:cs="Tinos"/>
        </w:rPr>
        <w:suppressLineNumbers/>
      </w:pPr>
      <w:r>
        <w:rPr>
          <w:rFonts w:ascii="Tinos" w:hAnsi="Tinos" w:eastAsia="Tinos" w:cs="Tinos"/>
          <w:bCs/>
        </w:rPr>
        <w:t xml:space="preserve">   _____________________/</w:t>
      </w:r>
      <w:r>
        <w:rPr>
          <w:rFonts w:ascii="Tinos" w:hAnsi="Tinos" w:eastAsia="Tinos" w:cs="Tinos"/>
        </w:rPr>
        <w:t xml:space="preserve"> </w:t>
      </w:r>
      <w:r>
        <w:rPr>
          <w:rFonts w:ascii="Tinos" w:hAnsi="Tinos" w:eastAsia="Tinos" w:cs="Tinos"/>
        </w:rPr>
        <w:t xml:space="preserve">А.И. Таранков</w:t>
      </w:r>
      <w:r>
        <w:rPr>
          <w:rFonts w:ascii="Tinos" w:hAnsi="Tinos" w:eastAsia="Tinos" w:cs="Tinos"/>
          <w:bCs/>
        </w:rPr>
        <w:t xml:space="preserve"> /                     _____________________/ /</w:t>
      </w:r>
      <w:r>
        <w:rPr>
          <w:rFonts w:ascii="Tinos" w:hAnsi="Tinos" w:eastAsia="Tinos" w:cs="Tinos"/>
        </w:rPr>
        <w:t xml:space="preserve">  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line="17" w:lineRule="atLeast"/>
        <w:widowControl w:val="off"/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   М.П.                                                                                   М.П.   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ind w:left="6237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nos" w:hAnsi="Tinos" w:eastAsia="Tinos" w:cs="Tinos"/>
          <w:sz w:val="20"/>
          <w:szCs w:val="20"/>
        </w:rPr>
        <w:t xml:space="preserve">          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237"/>
        <w:jc w:val="right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Приложение № 2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right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0"/>
        <w:jc w:val="right"/>
        <w:spacing w:after="0" w:line="17" w:lineRule="atLeast"/>
        <w:widowControl w:val="off"/>
        <w:rPr>
          <w:rFonts w:ascii="Tinos" w:hAnsi="Tinos" w:cs="Tinos"/>
          <w:sz w:val="20"/>
          <w:szCs w:val="20"/>
        </w:rPr>
        <w:suppressLineNumbers/>
      </w:pPr>
      <w:r>
        <w:rPr>
          <w:rFonts w:ascii="Tinos" w:hAnsi="Tinos" w:eastAsia="Tinos" w:cs="Tinos"/>
          <w:sz w:val="20"/>
          <w:szCs w:val="20"/>
        </w:rPr>
        <w:t xml:space="preserve">             от "____" __________ 20___г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contextualSpacing/>
        <w:spacing w:after="0" w:line="17" w:lineRule="atLeast"/>
        <w:widowControl w:val="off"/>
        <w:rPr>
          <w:rFonts w:ascii="Tinos" w:hAnsi="Tinos" w:cs="Tinos"/>
          <w:b/>
          <w:caps/>
          <w:sz w:val="20"/>
          <w:szCs w:val="20"/>
        </w:rPr>
        <w:suppressLineNumbers/>
      </w:pPr>
      <w:r/>
      <w:bookmarkStart w:id="1" w:name="_Toc359424111"/>
      <w:r>
        <w:rPr>
          <w:rFonts w:ascii="Tinos" w:hAnsi="Tinos" w:cs="Tinos"/>
          <w:b/>
          <w:caps/>
          <w:sz w:val="20"/>
          <w:szCs w:val="20"/>
        </w:rPr>
      </w:r>
      <w:r>
        <w:rPr>
          <w:rFonts w:ascii="Tinos" w:hAnsi="Tinos" w:cs="Tinos"/>
          <w:b/>
          <w:caps/>
          <w:sz w:val="20"/>
          <w:szCs w:val="20"/>
        </w:rPr>
      </w:r>
    </w:p>
    <w:p>
      <w:pPr>
        <w:contextualSpacing/>
        <w:spacing w:after="0" w:line="17" w:lineRule="atLeast"/>
        <w:widowControl w:val="off"/>
        <w:rPr>
          <w:rFonts w:ascii="Tinos" w:hAnsi="Tinos" w:cs="Tinos"/>
          <w:b/>
          <w:caps/>
          <w:sz w:val="20"/>
          <w:szCs w:val="20"/>
        </w:rPr>
        <w:suppressLineNumbers/>
      </w:pPr>
      <w:r>
        <w:rPr>
          <w:rFonts w:ascii="Tinos" w:hAnsi="Tinos" w:eastAsia="Tinos" w:cs="Tinos"/>
          <w:b/>
          <w:caps/>
          <w:sz w:val="20"/>
          <w:szCs w:val="20"/>
        </w:rPr>
        <w:t xml:space="preserve">    СО 6.1401/0</w:t>
      </w:r>
      <w:bookmarkEnd w:id="1"/>
      <w:r>
        <w:rPr>
          <w:rFonts w:ascii="Tinos" w:hAnsi="Tinos" w:cs="Tinos"/>
          <w:b/>
          <w:caps/>
          <w:sz w:val="20"/>
          <w:szCs w:val="20"/>
        </w:rPr>
      </w:r>
      <w:r>
        <w:rPr>
          <w:rFonts w:ascii="Tinos" w:hAnsi="Tinos" w:cs="Tinos"/>
          <w:b/>
          <w:caps/>
          <w:sz w:val="20"/>
          <w:szCs w:val="20"/>
        </w:rPr>
      </w:r>
    </w:p>
    <w:p>
      <w:pPr>
        <w:ind w:left="60"/>
        <w:spacing w:after="0" w:line="17" w:lineRule="atLeast"/>
        <w:widowControl w:val="off"/>
        <w:rPr>
          <w:rFonts w:ascii="Tinos" w:hAnsi="Tinos" w:cs="Tinos"/>
          <w:sz w:val="20"/>
          <w:szCs w:val="20"/>
        </w:rPr>
        <w:suppressLineNumbers/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0"/>
        <w:jc w:val="center"/>
        <w:keepLines/>
        <w:spacing w:after="0" w:line="17" w:lineRule="atLeast"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hAnsi="Tinos" w:cs="Tinos"/>
          <w:b/>
          <w:caps/>
          <w:sz w:val="20"/>
          <w:szCs w:val="20"/>
        </w:rPr>
      </w:r>
      <w:r>
        <w:rPr>
          <w:rFonts w:ascii="Tinos" w:hAnsi="Tinos" w:cs="Tinos"/>
          <w:b/>
          <w:caps/>
          <w:sz w:val="20"/>
          <w:szCs w:val="20"/>
        </w:rPr>
      </w:r>
      <w:r>
        <w:rPr>
          <w:rFonts w:ascii="Tinos" w:hAnsi="Tinos" w:cs="Tinos"/>
          <w:b/>
          <w:caps/>
          <w:sz w:val="20"/>
          <w:szCs w:val="20"/>
        </w:rPr>
      </w:r>
    </w:p>
    <w:p>
      <w:pPr>
        <w:ind w:left="60"/>
        <w:jc w:val="center"/>
        <w:keepLines/>
        <w:spacing w:after="0" w:line="17" w:lineRule="atLeast"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hAnsi="Tinos" w:cs="Tinos"/>
          <w:b/>
          <w:caps/>
          <w:sz w:val="20"/>
          <w:szCs w:val="20"/>
        </w:rPr>
      </w:r>
      <w:r>
        <w:rPr>
          <w:rFonts w:ascii="Tinos" w:hAnsi="Tinos" w:cs="Tinos"/>
          <w:b/>
          <w:caps/>
          <w:sz w:val="20"/>
          <w:szCs w:val="20"/>
        </w:rPr>
      </w:r>
      <w:r>
        <w:rPr>
          <w:rFonts w:ascii="Tinos" w:hAnsi="Tinos" w:cs="Tinos"/>
          <w:b/>
          <w:caps/>
          <w:sz w:val="20"/>
          <w:szCs w:val="20"/>
        </w:rPr>
      </w:r>
    </w:p>
    <w:p>
      <w:pPr>
        <w:ind w:left="60"/>
        <w:jc w:val="center"/>
        <w:keepLines/>
        <w:spacing w:after="0" w:line="17" w:lineRule="atLeast"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hAnsi="Tinos" w:eastAsia="Tinos" w:cs="Tinos"/>
          <w:b/>
          <w:caps/>
          <w:sz w:val="20"/>
          <w:szCs w:val="20"/>
        </w:rPr>
        <w:t xml:space="preserve">Информация о собственниках контрагента (включая конечных бенефициаров)</w:t>
      </w:r>
      <w:r>
        <w:rPr>
          <w:rFonts w:ascii="Tinos" w:hAnsi="Tinos" w:cs="Tinos"/>
          <w:b/>
          <w:caps/>
          <w:sz w:val="20"/>
          <w:szCs w:val="20"/>
        </w:rPr>
      </w:r>
      <w:r>
        <w:rPr>
          <w:rFonts w:ascii="Tinos" w:hAnsi="Tinos" w:cs="Tinos"/>
          <w:b/>
          <w:caps/>
          <w:sz w:val="20"/>
          <w:szCs w:val="20"/>
        </w:rPr>
      </w:r>
    </w:p>
    <w:p>
      <w:pPr>
        <w:ind w:left="60"/>
        <w:jc w:val="center"/>
        <w:keepLines/>
        <w:spacing w:after="0" w:line="17" w:lineRule="atLeast"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hAnsi="Tinos" w:eastAsia="Tinos" w:cs="Tinos"/>
          <w:b/>
          <w:caps/>
          <w:sz w:val="20"/>
          <w:szCs w:val="20"/>
        </w:rPr>
        <w:t xml:space="preserve">(ФОРМА ДОКУМЕНТА)</w:t>
      </w:r>
      <w:r>
        <w:rPr>
          <w:rFonts w:ascii="Tinos" w:hAnsi="Tinos" w:cs="Tinos"/>
          <w:b/>
          <w:caps/>
          <w:sz w:val="20"/>
          <w:szCs w:val="20"/>
        </w:rPr>
      </w:r>
      <w:r>
        <w:rPr>
          <w:rFonts w:ascii="Tinos" w:hAnsi="Tinos" w:cs="Tinos"/>
          <w:b/>
          <w:caps/>
          <w:sz w:val="20"/>
          <w:szCs w:val="20"/>
        </w:rPr>
      </w:r>
    </w:p>
    <w:tbl>
      <w:tblPr>
        <w:tblW w:w="9921" w:type="dxa"/>
        <w:tblInd w:w="1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850"/>
        <w:gridCol w:w="1559"/>
        <w:gridCol w:w="1559"/>
        <w:gridCol w:w="1559"/>
        <w:gridCol w:w="1559"/>
        <w:gridCol w:w="1418"/>
      </w:tblGrid>
      <w:tr>
        <w:tblPrEx/>
        <w:trPr>
          <w:trHeight w:val="278"/>
        </w:trPr>
        <w:tc>
          <w:tcPr>
            <w:gridSpan w:val="8"/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1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Информация о цепочке собственников, включая бенефициаров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(в том числе конечных)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50"/>
        </w:trPr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№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ИНН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ОГРН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Наименование / ФИО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Адрес регистрации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Серия и номер документа, удостоверяющего личность (для физ. лиц)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Руководитель/участник/акционер/бенефициар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Информация о подтверждающих документах (наименование, реквизиты и т.д.)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09"/>
        </w:trPr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2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6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7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bottom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8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  <w:highlight w:val="yellow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en-US"/>
              </w:rPr>
              <w:t xml:space="preserve">1</w:t>
            </w:r>
            <w:r>
              <w:rPr>
                <w:rFonts w:ascii="Tinos" w:hAnsi="Tinos" w:cs="Tinos"/>
                <w:sz w:val="20"/>
                <w:szCs w:val="20"/>
                <w:highlight w:val="yellow"/>
              </w:rPr>
            </w:r>
            <w:r>
              <w:rPr>
                <w:rFonts w:ascii="Tinos" w:hAnsi="Tinos" w:cs="Tinos"/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</w:tbl>
    <w:p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 </w:t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jc w:val="right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Приложение № 3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right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right"/>
        <w:spacing w:after="0" w:line="17" w:lineRule="atLeast"/>
        <w:rPr>
          <w:rFonts w:ascii="Tinos" w:hAnsi="Tinos" w:cs="Tinos"/>
          <w:sz w:val="20"/>
          <w:szCs w:val="20"/>
          <w:highlight w:val="green"/>
        </w:rPr>
      </w:pPr>
      <w:r>
        <w:rPr>
          <w:rFonts w:ascii="Tinos" w:hAnsi="Tinos" w:eastAsia="Tinos" w:cs="Tinos"/>
          <w:b/>
          <w:sz w:val="20"/>
          <w:szCs w:val="20"/>
        </w:rPr>
        <w:t xml:space="preserve">ФОРМА</w:t>
      </w: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                                        от "____" __________ 20___</w:t>
      </w:r>
      <w:r>
        <w:rPr>
          <w:rFonts w:ascii="Tinos" w:hAnsi="Tinos" w:cs="Tinos"/>
          <w:sz w:val="20"/>
          <w:szCs w:val="20"/>
          <w:highlight w:val="green"/>
        </w:rPr>
      </w:r>
      <w:r>
        <w:rPr>
          <w:rFonts w:ascii="Tinos" w:hAnsi="Tinos" w:cs="Tinos"/>
          <w:sz w:val="20"/>
          <w:szCs w:val="20"/>
          <w:highlight w:val="green"/>
        </w:rPr>
      </w:r>
    </w:p>
    <w:p>
      <w:pPr>
        <w:ind w:firstLine="709"/>
        <w:jc w:val="center"/>
        <w:keepNext/>
        <w:spacing w:after="0" w:line="17" w:lineRule="atLeast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  <w:r>
        <w:rPr>
          <w:rFonts w:ascii="Tinos" w:hAnsi="Tinos" w:cs="Tinos"/>
          <w:color w:val="1f2e3c"/>
          <w:sz w:val="20"/>
          <w:szCs w:val="20"/>
          <w:shd w:val="clear" w:color="auto" w:fill="ffffff"/>
        </w:rPr>
      </w:r>
      <w:r>
        <w:rPr>
          <w:rFonts w:ascii="Tinos" w:hAnsi="Tinos" w:cs="Tinos"/>
          <w:color w:val="1f2e3c"/>
          <w:sz w:val="20"/>
          <w:szCs w:val="20"/>
          <w:shd w:val="clear" w:color="auto" w:fill="ffffff"/>
        </w:rPr>
      </w:r>
      <w:r>
        <w:rPr>
          <w:rFonts w:ascii="Tinos" w:hAnsi="Tinos" w:cs="Tinos"/>
          <w:color w:val="1f2e3c"/>
          <w:sz w:val="20"/>
          <w:szCs w:val="20"/>
          <w:shd w:val="clear" w:color="auto" w:fill="ffffff"/>
        </w:rPr>
      </w:r>
    </w:p>
    <w:p>
      <w:pPr>
        <w:ind w:firstLine="709"/>
        <w:jc w:val="center"/>
        <w:keepNext/>
        <w:spacing w:after="0" w:line="17" w:lineRule="atLeast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  <w:r>
        <w:rPr>
          <w:rFonts w:ascii="Tinos" w:hAnsi="Tinos" w:cs="Tinos"/>
          <w:color w:val="1f2e3c"/>
          <w:sz w:val="20"/>
          <w:szCs w:val="20"/>
          <w:shd w:val="clear" w:color="auto" w:fill="ffffff"/>
        </w:rPr>
      </w:r>
      <w:r>
        <w:rPr>
          <w:rFonts w:ascii="Tinos" w:hAnsi="Tinos" w:cs="Tinos"/>
          <w:color w:val="1f2e3c"/>
          <w:sz w:val="20"/>
          <w:szCs w:val="20"/>
          <w:shd w:val="clear" w:color="auto" w:fill="ffffff"/>
        </w:rPr>
      </w:r>
      <w:r>
        <w:rPr>
          <w:rFonts w:ascii="Tinos" w:hAnsi="Tinos" w:cs="Tinos"/>
          <w:color w:val="1f2e3c"/>
          <w:sz w:val="20"/>
          <w:szCs w:val="20"/>
          <w:shd w:val="clear" w:color="auto" w:fill="ffffff"/>
        </w:rPr>
      </w:r>
    </w:p>
    <w:p>
      <w:pPr>
        <w:jc w:val="both"/>
        <w:keepNext/>
        <w:spacing w:after="0" w:line="17" w:lineRule="atLeast"/>
        <w:rPr>
          <w:rFonts w:ascii="Tinos" w:hAnsi="Tinos" w:cs="Tinos"/>
          <w:b/>
          <w:sz w:val="20"/>
          <w:szCs w:val="20"/>
        </w:rPr>
      </w:pPr>
      <w:r/>
      <w:bookmarkStart w:id="2" w:name="_Ref276562987"/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both"/>
        <w:keepNext/>
        <w:spacing w:after="0" w:line="17" w:lineRule="atLeast"/>
        <w:rPr>
          <w:rFonts w:ascii="Tinos" w:hAnsi="Tinos" w:cs="Tinos"/>
          <w:b/>
          <w:sz w:val="20"/>
          <w:szCs w:val="20"/>
        </w:rPr>
      </w:pP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both"/>
        <w:keepNext/>
        <w:spacing w:after="0" w:line="17" w:lineRule="atLeast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b/>
          <w:sz w:val="20"/>
          <w:szCs w:val="20"/>
        </w:rPr>
        <w:t xml:space="preserve">СО 6.1461/0</w:t>
      </w: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both"/>
        <w:keepNext/>
        <w:spacing w:after="0" w:line="17" w:lineRule="atLeast"/>
        <w:rPr>
          <w:rFonts w:ascii="Tinos" w:hAnsi="Tinos" w:cs="Tinos"/>
          <w:b/>
          <w:bCs/>
          <w:smallCaps/>
          <w:sz w:val="20"/>
          <w:szCs w:val="20"/>
        </w:rPr>
      </w:pPr>
      <w:r>
        <w:rPr>
          <w:rFonts w:ascii="Tinos" w:hAnsi="Tinos" w:cs="Tinos"/>
          <w:b/>
          <w:bCs/>
          <w:smallCaps/>
          <w:sz w:val="20"/>
          <w:szCs w:val="20"/>
        </w:rPr>
      </w:r>
      <w:r>
        <w:rPr>
          <w:rFonts w:ascii="Tinos" w:hAnsi="Tinos" w:cs="Tinos"/>
          <w:b/>
          <w:bCs/>
          <w:smallCaps/>
          <w:sz w:val="20"/>
          <w:szCs w:val="20"/>
        </w:rPr>
      </w:r>
      <w:r>
        <w:rPr>
          <w:rFonts w:ascii="Tinos" w:hAnsi="Tinos" w:cs="Tinos"/>
          <w:b/>
          <w:bCs/>
          <w:smallCaps/>
          <w:sz w:val="20"/>
          <w:szCs w:val="20"/>
        </w:rPr>
      </w:r>
    </w:p>
    <w:p>
      <w:pPr>
        <w:jc w:val="center"/>
        <w:keepNext/>
        <w:spacing w:after="0" w:line="17" w:lineRule="atLeast"/>
        <w:widowControl w:val="off"/>
        <w:tabs>
          <w:tab w:val="left" w:pos="0" w:leader="none"/>
          <w:tab w:val="num" w:pos="1134" w:leader="none"/>
        </w:tabs>
        <w:rPr>
          <w:rFonts w:ascii="Tinos" w:hAnsi="Tinos" w:cs="Tinos"/>
          <w:b/>
          <w:sz w:val="20"/>
          <w:szCs w:val="20"/>
        </w:rPr>
        <w:outlineLvl w:val="1"/>
      </w:pP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center"/>
        <w:keepNext/>
        <w:spacing w:after="0" w:line="17" w:lineRule="atLeast"/>
        <w:widowControl w:val="off"/>
        <w:tabs>
          <w:tab w:val="left" w:pos="0" w:leader="none"/>
          <w:tab w:val="num" w:pos="1134" w:leader="none"/>
        </w:tabs>
        <w:rPr>
          <w:rFonts w:ascii="Tinos" w:hAnsi="Tinos" w:cs="Tinos"/>
          <w:b/>
        </w:rPr>
        <w:outlineLvl w:val="1"/>
      </w:pPr>
      <w:r>
        <w:rPr>
          <w:rFonts w:ascii="Tinos" w:hAnsi="Tinos" w:eastAsia="Tinos" w:cs="Tinos"/>
          <w:b/>
        </w:rPr>
        <w:t xml:space="preserve">Согласие на обработку персональных данных участника закупочной процедуры</w:t>
      </w:r>
      <w:r>
        <w:rPr>
          <w:rFonts w:ascii="Tinos" w:hAnsi="Tinos" w:cs="Tinos"/>
          <w:b/>
        </w:rPr>
      </w:r>
      <w:r>
        <w:rPr>
          <w:rFonts w:ascii="Tinos" w:hAnsi="Tinos" w:cs="Tinos"/>
          <w:b/>
        </w:rPr>
      </w:r>
    </w:p>
    <w:p>
      <w:pPr>
        <w:jc w:val="center"/>
        <w:keepNext/>
        <w:spacing w:after="0" w:line="17" w:lineRule="atLeast"/>
        <w:widowControl w:val="off"/>
        <w:tabs>
          <w:tab w:val="left" w:pos="0" w:leader="none"/>
        </w:tabs>
        <w:rPr>
          <w:rFonts w:ascii="Tinos" w:hAnsi="Tinos" w:cs="Tinos"/>
          <w:b/>
        </w:rPr>
      </w:pPr>
      <w:r>
        <w:rPr>
          <w:rFonts w:ascii="Tinos" w:hAnsi="Tinos" w:eastAsia="Tinos" w:cs="Tinos"/>
          <w:b/>
        </w:rPr>
        <w:t xml:space="preserve">от «_____» ____________ 202____ г.</w:t>
      </w:r>
      <w:r>
        <w:rPr>
          <w:rFonts w:ascii="Tinos" w:hAnsi="Tinos" w:cs="Tinos"/>
          <w:b/>
        </w:rPr>
      </w:r>
      <w:r>
        <w:rPr>
          <w:rFonts w:ascii="Tinos" w:hAnsi="Tinos" w:cs="Tinos"/>
          <w:b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Настоящим, ________________________________________________________,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b/>
          <w:i/>
          <w:sz w:val="20"/>
          <w:szCs w:val="20"/>
        </w:rPr>
        <w:pBdr>
          <w:bottom w:val="single" w:color="000000" w:sz="12" w:space="1"/>
        </w:pBdr>
      </w:pPr>
      <w:r>
        <w:rPr>
          <w:rFonts w:ascii="Tinos" w:hAnsi="Tinos" w:eastAsia="Tinos" w:cs="Tinos"/>
          <w:b/>
          <w:i/>
          <w:sz w:val="20"/>
          <w:szCs w:val="20"/>
        </w:rPr>
        <w:t xml:space="preserve">(указывается</w:t>
      </w:r>
      <w:r>
        <w:rPr>
          <w:rFonts w:ascii="Tinos" w:hAnsi="Tinos" w:eastAsia="Tinos" w:cs="Tinos"/>
          <w:sz w:val="20"/>
          <w:szCs w:val="20"/>
        </w:rPr>
        <w:t xml:space="preserve"> </w:t>
      </w:r>
      <w:r>
        <w:rPr>
          <w:rFonts w:ascii="Tinos" w:hAnsi="Tinos" w:eastAsia="Tinos" w:cs="Tinos"/>
          <w:b/>
          <w:i/>
          <w:sz w:val="20"/>
          <w:szCs w:val="20"/>
        </w:rPr>
        <w:t xml:space="preserve">полное наименование участника закупочной процедуры</w:t>
      </w:r>
      <w:r>
        <w:rPr>
          <w:rFonts w:ascii="Tinos" w:hAnsi="Tinos" w:cs="Tinos"/>
          <w:b/>
          <w:i/>
          <w:sz w:val="20"/>
          <w:szCs w:val="20"/>
        </w:rPr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(потенциального контрагента), контрагента)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Адрес регистрации: _______________________________________________________,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b/>
          <w:i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Свидетельство о регистрации: ______________________________________________ </w:t>
      </w:r>
      <w:r>
        <w:rPr>
          <w:rFonts w:ascii="Tinos" w:hAnsi="Tinos" w:eastAsia="Tinos" w:cs="Tinos"/>
          <w:b/>
          <w:i/>
          <w:sz w:val="20"/>
          <w:szCs w:val="20"/>
        </w:rPr>
        <w:t xml:space="preserve">ИНН__________________________</w:t>
      </w:r>
      <w:r>
        <w:rPr>
          <w:rFonts w:ascii="Tinos" w:hAnsi="Tinos" w:cs="Tinos"/>
          <w:b/>
          <w:i/>
          <w:sz w:val="20"/>
          <w:szCs w:val="20"/>
        </w:rPr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b/>
          <w:i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КПП__________________________</w:t>
      </w:r>
      <w:r>
        <w:rPr>
          <w:rFonts w:ascii="Tinos" w:hAnsi="Tinos" w:cs="Tinos"/>
          <w:b/>
          <w:i/>
          <w:sz w:val="20"/>
          <w:szCs w:val="20"/>
        </w:rPr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ОГРН_________________________</w:t>
      </w:r>
      <w:r>
        <w:rPr>
          <w:rFonts w:ascii="Tinos" w:hAnsi="Tinos" w:eastAsia="Tinos" w:cs="Tinos"/>
          <w:sz w:val="20"/>
          <w:szCs w:val="20"/>
        </w:rPr>
        <w:t xml:space="preserve">,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b/>
          <w:i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в лице</w:t>
      </w:r>
      <w:r>
        <w:rPr>
          <w:rFonts w:ascii="Tinos" w:hAnsi="Tinos" w:eastAsia="Tinos" w:cs="Tinos"/>
          <w:b/>
          <w:i/>
          <w:sz w:val="20"/>
          <w:szCs w:val="20"/>
        </w:rPr>
        <w:t xml:space="preserve"> ___________________________________________________________________</w:t>
      </w:r>
      <w:r>
        <w:rPr>
          <w:rFonts w:ascii="Tinos" w:hAnsi="Tinos" w:cs="Tinos"/>
          <w:b/>
          <w:i/>
          <w:sz w:val="20"/>
          <w:szCs w:val="20"/>
        </w:rPr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keepNext/>
        <w:spacing w:after="0" w:line="17" w:lineRule="atLeas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(указывается Ф.И.О.,</w:t>
      </w:r>
      <w:r>
        <w:rPr>
          <w:rFonts w:ascii="Tinos" w:hAnsi="Tinos" w:eastAsia="Tinos" w:cs="Tinos"/>
          <w:b/>
          <w:bCs/>
          <w:i/>
          <w:iCs/>
          <w:sz w:val="20"/>
          <w:szCs w:val="20"/>
        </w:rPr>
        <w:t xml:space="preserve"> адрес, номер основного документа, удостоверяющего его личность,</w:t>
      </w:r>
      <w:r>
        <w:rPr>
          <w:rFonts w:ascii="Tinos" w:hAnsi="Tinos" w:cs="Tinos"/>
          <w:b/>
          <w:bCs/>
          <w:i/>
          <w:iCs/>
          <w:sz w:val="20"/>
          <w:szCs w:val="20"/>
        </w:rPr>
      </w:r>
      <w:r>
        <w:rPr>
          <w:rFonts w:ascii="Tinos" w:hAnsi="Tinos" w:cs="Tinos"/>
          <w:b/>
          <w:bCs/>
          <w:i/>
          <w:iCs/>
          <w:sz w:val="20"/>
          <w:szCs w:val="20"/>
        </w:rPr>
      </w:r>
    </w:p>
    <w:p>
      <w:pPr>
        <w:keepNext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bCs/>
          <w:i/>
          <w:iCs/>
          <w:sz w:val="20"/>
          <w:szCs w:val="20"/>
        </w:rPr>
        <w:t xml:space="preserve">________________________________________________________________________________,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hAnsi="Tinos" w:eastAsia="Tinos" w:cs="Tinos"/>
          <w:b/>
          <w:bCs/>
          <w:i/>
          <w:iCs/>
          <w:sz w:val="20"/>
          <w:szCs w:val="20"/>
        </w:rPr>
        <w:t xml:space="preserve">сведения о дате выдачи указанного документа и выдавшем его органе) *</w:t>
      </w:r>
      <w:r>
        <w:rPr>
          <w:rFonts w:ascii="Tinos" w:hAnsi="Tinos" w:cs="Tinos"/>
          <w:b/>
          <w:bCs/>
          <w:i/>
          <w:iCs/>
          <w:sz w:val="20"/>
          <w:szCs w:val="20"/>
        </w:rPr>
      </w:r>
      <w:r>
        <w:rPr>
          <w:rFonts w:ascii="Tinos" w:hAnsi="Tinos" w:cs="Tinos"/>
          <w:b/>
          <w:bCs/>
          <w:i/>
          <w:iCs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действующего на основании _______________</w:t>
      </w:r>
      <w:r>
        <w:rPr>
          <w:rFonts w:ascii="Tinos" w:hAnsi="Tinos" w:eastAsia="Tinos" w:cs="Tinos"/>
          <w:i/>
          <w:sz w:val="20"/>
          <w:szCs w:val="20"/>
        </w:rPr>
        <w:t xml:space="preserve">,</w:t>
      </w:r>
      <w:r>
        <w:rPr>
          <w:rFonts w:ascii="Tinos" w:hAnsi="Tinos" w:eastAsia="Tinos" w:cs="Tinos"/>
          <w:b/>
          <w:i/>
          <w:sz w:val="20"/>
          <w:szCs w:val="20"/>
        </w:rPr>
        <w:t xml:space="preserve"> </w:t>
      </w:r>
      <w:r>
        <w:rPr>
          <w:rFonts w:ascii="Tinos" w:hAnsi="Tinos" w:eastAsia="Tinos" w:cs="Tinos"/>
          <w:sz w:val="20"/>
          <w:szCs w:val="20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nos" w:hAnsi="Tinos" w:eastAsia="Tinos" w:cs="Tinos"/>
          <w:b/>
          <w:sz w:val="20"/>
          <w:szCs w:val="20"/>
        </w:rPr>
        <w:t xml:space="preserve">Публичному акционерному обществу   «Россети Сибирь»</w:t>
      </w:r>
      <w:r>
        <w:rPr>
          <w:rFonts w:ascii="Tinos" w:hAnsi="Tinos" w:eastAsia="Tinos" w:cs="Tinos"/>
          <w:sz w:val="20"/>
          <w:szCs w:val="20"/>
        </w:rPr>
        <w:t xml:space="preserve">, зарегистрированному по адресу: г. Красноярск, ул. Бограда 144 А,</w:t>
      </w:r>
      <w:r>
        <w:rPr>
          <w:rFonts w:ascii="Tinos" w:hAnsi="Tinos" w:eastAsia="Tinos" w:cs="Tinos"/>
          <w:b/>
          <w:i/>
          <w:sz w:val="20"/>
          <w:szCs w:val="20"/>
        </w:rPr>
        <w:t xml:space="preserve"> </w:t>
      </w:r>
      <w:r>
        <w:rPr>
          <w:rFonts w:ascii="Tinos" w:hAnsi="Tinos" w:eastAsia="Tinos" w:cs="Tinos"/>
          <w:sz w:val="20"/>
          <w:szCs w:val="20"/>
        </w:rPr>
        <w:t xml:space="preserve">и</w:t>
      </w:r>
      <w:r>
        <w:rPr>
          <w:rFonts w:ascii="Tinos" w:hAnsi="Tinos" w:eastAsia="Tinos" w:cs="Tinos"/>
          <w:i/>
          <w:sz w:val="20"/>
          <w:szCs w:val="20"/>
        </w:rPr>
        <w:t xml:space="preserve"> </w:t>
      </w:r>
      <w:r>
        <w:rPr>
          <w:rFonts w:ascii="Tinos" w:hAnsi="Tinos" w:eastAsia="Tinos" w:cs="Tinos"/>
          <w:b/>
          <w:sz w:val="20"/>
          <w:szCs w:val="20"/>
        </w:rPr>
        <w:t xml:space="preserve">Публичному акционерному обществу  «Российские сети»</w:t>
      </w:r>
      <w:r>
        <w:rPr>
          <w:rFonts w:ascii="Tinos" w:hAnsi="Tinos" w:eastAsia="Tinos" w:cs="Tinos"/>
          <w:sz w:val="20"/>
          <w:szCs w:val="20"/>
        </w:rPr>
        <w:t xml:space="preserve">, зарегистрированному по адресу: </w:t>
      </w:r>
      <w:r>
        <w:rPr>
          <w:rFonts w:ascii="Tinos" w:hAnsi="Tinos" w:eastAsia="Tinos" w:cs="Tinos"/>
          <w:sz w:val="20"/>
          <w:szCs w:val="20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nos" w:hAnsi="Tinos" w:eastAsia="Tinos" w:cs="Tinos"/>
          <w:sz w:val="20"/>
          <w:szCs w:val="20"/>
        </w:rPr>
        <w:br/>
        <w:t xml:space="preserve"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</w:t>
      </w:r>
      <w:r>
        <w:rPr>
          <w:rFonts w:ascii="Tinos" w:hAnsi="Tinos" w:eastAsia="Tinos" w:cs="Tinos"/>
          <w:sz w:val="20"/>
          <w:szCs w:val="20"/>
        </w:rPr>
        <w:t xml:space="preserve">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nos" w:hAnsi="Tinos" w:eastAsia="Tinos" w:cs="Tinos"/>
          <w:sz w:val="20"/>
          <w:szCs w:val="20"/>
        </w:rPr>
        <w:br/>
        <w:t xml:space="preserve">а также на представле</w:t>
      </w:r>
      <w:r>
        <w:rPr>
          <w:rFonts w:ascii="Tinos" w:hAnsi="Tinos" w:eastAsia="Tinos" w:cs="Tinos"/>
          <w:sz w:val="20"/>
          <w:szCs w:val="20"/>
        </w:rPr>
        <w:t xml:space="preserve">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nos" w:hAnsi="Tinos" w:eastAsia="Tinos" w:cs="Tinos"/>
          <w:sz w:val="20"/>
          <w:szCs w:val="20"/>
        </w:rPr>
        <w:br/>
        <w:t xml:space="preserve">и бенефициаров.***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Цель обра</w:t>
      </w:r>
      <w:r>
        <w:rPr>
          <w:rFonts w:ascii="Tinos" w:hAnsi="Tinos" w:eastAsia="Tinos" w:cs="Tinos"/>
          <w:sz w:val="20"/>
          <w:szCs w:val="20"/>
        </w:rPr>
        <w:t xml:space="preserve">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</w:t>
      </w:r>
      <w:r>
        <w:rPr>
          <w:rFonts w:ascii="Tinos" w:hAnsi="Tinos" w:eastAsia="Tinos" w:cs="Tinos"/>
          <w:sz w:val="20"/>
          <w:szCs w:val="20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nos" w:hAnsi="Tinos" w:eastAsia="Tinos" w:cs="Tinos"/>
          <w:sz w:val="20"/>
          <w:szCs w:val="20"/>
        </w:rPr>
        <w:br/>
        <w:t xml:space="preserve">а также связанных с ними иных поручений Правительства Российской Федерации </w:t>
      </w:r>
      <w:r>
        <w:rPr>
          <w:rFonts w:ascii="Tinos" w:hAnsi="Tinos" w:eastAsia="Tinos" w:cs="Tinos"/>
          <w:sz w:val="20"/>
          <w:szCs w:val="20"/>
        </w:rPr>
        <w:br/>
        <w:t xml:space="preserve"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rFonts w:ascii="Tinos" w:hAnsi="Tinos" w:cs="Tinos"/>
          <w:color w:val="000000"/>
          <w:sz w:val="20"/>
          <w:szCs w:val="20"/>
        </w:rPr>
      </w:r>
      <w:r>
        <w:rPr>
          <w:rFonts w:ascii="Tinos" w:hAnsi="Tinos" w:cs="Tinos"/>
          <w:color w:val="000000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hAnsi="Tinos" w:eastAsia="Tinos" w:cs="Tinos"/>
          <w:color w:val="000000"/>
          <w:sz w:val="20"/>
          <w:szCs w:val="20"/>
        </w:rPr>
        <w:t xml:space="preserve">_______________________________                                 ___________________________</w:t>
      </w:r>
      <w:r>
        <w:rPr>
          <w:rFonts w:ascii="Tinos" w:hAnsi="Tinos" w:cs="Tinos"/>
          <w:color w:val="000000"/>
          <w:sz w:val="20"/>
          <w:szCs w:val="20"/>
        </w:rPr>
      </w:r>
      <w:r>
        <w:rPr>
          <w:rFonts w:ascii="Tinos" w:hAnsi="Tinos" w:cs="Tinos"/>
          <w:color w:val="000000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(Подпись субъекта персональных данных/                                    (Ф.И.О. и должность подписавшего*)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уполномоченного представителя)                                               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b/>
          <w:bCs/>
          <w:sz w:val="20"/>
          <w:szCs w:val="20"/>
        </w:rPr>
        <w:t xml:space="preserve">М.П.                                                                                  М.П.</w:t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* Указывается фамилия, имя, отчество, адрес су</w:t>
      </w:r>
      <w:r>
        <w:rPr>
          <w:rFonts w:ascii="Tinos" w:hAnsi="Tinos" w:eastAsia="Tinos" w:cs="Tinos"/>
          <w:sz w:val="20"/>
          <w:szCs w:val="20"/>
        </w:rPr>
        <w:t xml:space="preserve">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</w:t>
      </w:r>
      <w:r>
        <w:rPr>
          <w:rFonts w:ascii="Tinos" w:hAnsi="Tinos" w:eastAsia="Tinos" w:cs="Tinos"/>
          <w:sz w:val="20"/>
          <w:szCs w:val="20"/>
        </w:rPr>
        <w:t xml:space="preserve">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</w:t>
      </w:r>
      <w:r>
        <w:rPr>
          <w:rFonts w:ascii="Tinos" w:hAnsi="Tinos" w:eastAsia="Tinos" w:cs="Tinos"/>
          <w:sz w:val="20"/>
          <w:szCs w:val="20"/>
        </w:rPr>
        <w:t xml:space="preserve">субконтрагентов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*** Заполнени</w:t>
      </w:r>
      <w:r>
        <w:rPr>
          <w:rFonts w:ascii="Tinos" w:hAnsi="Tinos" w:eastAsia="Tinos" w:cs="Tinos"/>
          <w:sz w:val="20"/>
          <w:szCs w:val="20"/>
        </w:rPr>
        <w:t xml:space="preserve">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</w:t>
      </w:r>
      <w:r>
        <w:rPr>
          <w:rFonts w:ascii="Tinos" w:hAnsi="Tinos" w:eastAsia="Tinos" w:cs="Tinos"/>
          <w:sz w:val="20"/>
          <w:szCs w:val="20"/>
        </w:rPr>
        <w:t xml:space="preserve">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</w:t>
      </w:r>
      <w:r>
        <w:rPr>
          <w:rFonts w:ascii="Tinos" w:hAnsi="Tinos" w:eastAsia="Tinos" w:cs="Tinos"/>
          <w:sz w:val="20"/>
          <w:szCs w:val="20"/>
        </w:rPr>
        <w:t xml:space="preserve">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</w:t>
      </w:r>
      <w:r>
        <w:rPr>
          <w:rFonts w:ascii="Tinos" w:hAnsi="Tinos" w:eastAsia="Tinos" w:cs="Tinos"/>
          <w:sz w:val="20"/>
          <w:szCs w:val="20"/>
        </w:rPr>
        <w:t xml:space="preserve">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2"/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firstLine="709"/>
        <w:jc w:val="both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0064"/>
      </w:tblGrid>
      <w:tr>
        <w:tblPrEx/>
        <w:trPr>
          <w:trHeight w:val="80"/>
        </w:trPr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nos" w:hAnsi="Tinos" w:cs="Tinos"/>
                <w:b/>
                <w:i/>
                <w:sz w:val="20"/>
                <w:szCs w:val="20"/>
              </w:rPr>
            </w:pPr>
            <w:r>
              <w:rPr>
                <w:rFonts w:ascii="Tinos" w:hAnsi="Tinos" w:cs="Tinos"/>
                <w:b/>
                <w:i/>
                <w:sz w:val="20"/>
                <w:szCs w:val="20"/>
              </w:rPr>
            </w:r>
            <w:r>
              <w:rPr>
                <w:rFonts w:ascii="Tinos" w:hAnsi="Tinos" w:cs="Tinos"/>
                <w:b/>
                <w:i/>
                <w:sz w:val="20"/>
                <w:szCs w:val="20"/>
              </w:rPr>
            </w:r>
            <w:r>
              <w:rPr>
                <w:rFonts w:ascii="Tinos" w:hAnsi="Tinos" w:cs="Tinos"/>
                <w:b/>
                <w:i/>
                <w:sz w:val="20"/>
                <w:szCs w:val="20"/>
              </w:rPr>
            </w:r>
          </w:p>
        </w:tc>
      </w:tr>
      <w:tr>
        <w:tblPrEx/>
        <w:trPr/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nos" w:hAnsi="Tinos" w:cs="Tinos"/>
                <w:b/>
                <w:bCs/>
                <w:i/>
              </w:rPr>
            </w:pPr>
            <w:r>
              <w:rPr>
                <w:rFonts w:ascii="Tinos" w:hAnsi="Tinos" w:eastAsia="Tinos" w:cs="Tinos"/>
                <w:b/>
                <w:bCs/>
              </w:rPr>
              <w:t xml:space="preserve">ФОРМУ СОГЛАСОВАЛИ:</w:t>
            </w:r>
            <w:r>
              <w:rPr>
                <w:rFonts w:ascii="Tinos" w:hAnsi="Tinos" w:cs="Tinos"/>
                <w:b/>
                <w:bCs/>
                <w:i/>
              </w:rPr>
            </w:r>
            <w:r>
              <w:rPr>
                <w:rFonts w:ascii="Tinos" w:hAnsi="Tinos" w:cs="Tinos"/>
                <w:b/>
                <w:bCs/>
                <w:i/>
              </w:rPr>
            </w:r>
          </w:p>
        </w:tc>
      </w:tr>
      <w:tr>
        <w:tblPrEx/>
        <w:trPr>
          <w:trHeight w:val="3367"/>
        </w:trPr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tbl>
            <w:tblPr>
              <w:tblW w:w="14524" w:type="dxa"/>
              <w:tblInd w:w="-109" w:type="dxa"/>
              <w:tblLayout w:type="fixed"/>
              <w:tblLook w:val="04A0" w:firstRow="1" w:lastRow="0" w:firstColumn="1" w:lastColumn="0" w:noHBand="0" w:noVBand="1"/>
            </w:tblPr>
            <w:tblGrid>
              <w:gridCol w:w="5005"/>
              <w:gridCol w:w="9519"/>
            </w:tblGrid>
            <w:tr>
              <w:tblPrEx/>
              <w:trPr>
                <w:trHeight w:val="411"/>
              </w:trPr>
              <w:tc>
                <w:tcPr>
                  <w:tcW w:w="5005" w:type="dxa"/>
                  <w:textDirection w:val="lrTb"/>
                  <w:noWrap w:val="false"/>
                </w:tcPr>
                <w:p>
                  <w:pPr>
                    <w:ind w:left="709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Покупатель: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_____________________/ </w:t>
                  </w: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А.И. Таранков</w:t>
                  </w: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 /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Поставщик: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_____________________/ ____ /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</w:tc>
            </w:tr>
            <w:tr>
              <w:tblPrEx/>
              <w:trPr>
                <w:trHeight w:val="394"/>
              </w:trPr>
              <w:tc>
                <w:tcPr>
                  <w:tcW w:w="5005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М.П.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М.П.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</w:tc>
            </w:tr>
            <w:tr>
              <w:tblPrEx/>
              <w:trPr>
                <w:trHeight w:val="679"/>
              </w:trPr>
              <w:tc>
                <w:tcPr>
                  <w:tcW w:w="5005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«_____»_____________20___г.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«_____» _____________20___г.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</w:tc>
            </w:tr>
          </w:tbl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spacing w:after="0" w:line="17" w:lineRule="atLeast"/>
              <w:rPr>
                <w:rFonts w:ascii="Tinos" w:hAnsi="Tinos" w:cs="Tinos"/>
                <w:b/>
                <w:bCs/>
                <w:i/>
              </w:rPr>
            </w:pPr>
            <w:r>
              <w:rPr>
                <w:rFonts w:ascii="Tinos" w:hAnsi="Tinos" w:cs="Tinos"/>
                <w:b/>
                <w:bCs/>
                <w:i/>
              </w:rPr>
            </w:r>
            <w:r>
              <w:rPr>
                <w:rFonts w:ascii="Tinos" w:hAnsi="Tinos" w:cs="Tinos"/>
                <w:b/>
                <w:bCs/>
                <w:i/>
              </w:rPr>
            </w:r>
            <w:r>
              <w:rPr>
                <w:rFonts w:ascii="Tinos" w:hAnsi="Tinos" w:cs="Tinos"/>
                <w:b/>
                <w:bCs/>
                <w:i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highlight w:val="green"/>
        </w:rPr>
      </w:pPr>
      <w:r>
        <w:rPr>
          <w:rFonts w:ascii="Times New Roman" w:hAnsi="Times New Roman" w:eastAsia="Times New Roman" w:cs="Times New Roman"/>
          <w:highlight w:val="green"/>
        </w:rPr>
      </w:r>
      <w:r>
        <w:rPr>
          <w:rFonts w:ascii="Times New Roman" w:hAnsi="Times New Roman" w:eastAsia="Times New Roman" w:cs="Times New Roman"/>
          <w:highlight w:val="green"/>
        </w:rPr>
      </w:r>
      <w:r>
        <w:rPr>
          <w:rFonts w:ascii="Times New Roman" w:hAnsi="Times New Roman" w:eastAsia="Times New Roman" w:cs="Times New Roman"/>
          <w:highlight w:val="gree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highlight w:val="green"/>
        </w:rPr>
      </w:pPr>
      <w:r>
        <w:rPr>
          <w:rFonts w:ascii="Times New Roman" w:hAnsi="Times New Roman" w:eastAsia="Times New Roman" w:cs="Times New Roman"/>
          <w:highlight w:val="green"/>
        </w:rPr>
      </w:r>
      <w:r>
        <w:rPr>
          <w:rFonts w:ascii="Times New Roman" w:hAnsi="Times New Roman" w:eastAsia="Times New Roman" w:cs="Times New Roman"/>
          <w:highlight w:val="green"/>
        </w:rPr>
      </w:r>
      <w:r>
        <w:rPr>
          <w:rFonts w:ascii="Times New Roman" w:hAnsi="Times New Roman" w:eastAsia="Times New Roman" w:cs="Times New Roman"/>
          <w:highlight w:val="green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</w:t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</w:t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</w:t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jc w:val="right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</w:t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jc w:val="right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tabs>
          <w:tab w:val="left" w:pos="41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tabs>
          <w:tab w:val="left" w:pos="41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tabs>
          <w:tab w:val="left" w:pos="41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tabs>
          <w:tab w:val="left" w:pos="41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803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Приложение № 4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803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к Договору №________________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803"/>
        <w:spacing w:after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от "____" __________ 20___</w:t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ind w:left="6803"/>
        <w:spacing w:after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jc w:val="center"/>
        <w:spacing w:after="0" w:line="17" w:lineRule="atLeast"/>
        <w:rPr>
          <w:rFonts w:ascii="Tinos" w:hAnsi="Tinos" w:cs="Tinos"/>
        </w:rPr>
      </w:pPr>
      <w:r>
        <w:rPr>
          <w:rFonts w:ascii="Tinos" w:hAnsi="Tinos" w:eastAsia="Tinos" w:cs="Tinos"/>
          <w:b/>
        </w:rPr>
        <w:t xml:space="preserve">Условия предоставления обеспечения исполнения обязательств 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jc w:val="center"/>
        <w:spacing w:after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b/>
        </w:rPr>
        <w:t xml:space="preserve">при аномально низкой цене</w:t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jc w:val="center"/>
        <w:spacing w:after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pStyle w:val="1080"/>
        <w:numPr>
          <w:ilvl w:val="0"/>
          <w:numId w:val="17"/>
        </w:numPr>
        <w:ind w:left="0"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Если участник закупки (Поставщик) предоставил аномально низкое ценовое предложение, выраженное в снижении цены относительно началь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ной (максимальной) цены Договора (цены лота), указанной в извещении и/или документации о закупке, на 25% (двадцать пять процентов) и более, таким участником (Поставщиком) предоставляется обеспечение исполнения обязательств по Договору в следующем размере: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b/>
          <w:i/>
          <w:color w:val="000000"/>
          <w:sz w:val="20"/>
          <w:szCs w:val="20"/>
        </w:rPr>
        <w:t xml:space="preserve">Вариант 1 (для включения в договоры, заключаемые по результатам закупочных процедур, участниками которых могут быть любые лица, указанные в ч. 5 ст. 2 Закона 223-ФЗ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80"/>
        <w:numPr>
          <w:ilvl w:val="1"/>
          <w:numId w:val="19"/>
        </w:numPr>
        <w:ind w:left="0"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размещенного в составе закупочной документации,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5% (пять процентов) от нача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льной (максимальной) цены Договора (цены лота) (по решению закупочной комиссии при формировании извещения о закупке и/или документации о закупки размер обеспечения может быть увеличен до 30% (тридцати)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80"/>
        <w:numPr>
          <w:ilvl w:val="1"/>
          <w:numId w:val="19"/>
        </w:numPr>
        <w:ind w:left="0"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80"/>
        <w:numPr>
          <w:ilvl w:val="1"/>
          <w:numId w:val="19"/>
        </w:numPr>
        <w:ind w:left="0"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ть только обеспечение на возврат авансовых платежей,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80"/>
        <w:numPr>
          <w:ilvl w:val="1"/>
          <w:numId w:val="19"/>
        </w:numPr>
        <w:ind w:left="0"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и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при этом Договором предусмотрены авансовые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80"/>
        <w:numPr>
          <w:ilvl w:val="1"/>
          <w:numId w:val="19"/>
        </w:numPr>
        <w:ind w:left="0"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обязательств по Договору, и при этом Договором предусмотрены авансовые платежи, то при аномально низком ценовом предложении сумма такого обеспечения увеличивается в 1,5 (полтора) раза от первоначально установленной, но должна быть не менее размера аванса.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80"/>
        <w:numPr>
          <w:ilvl w:val="1"/>
          <w:numId w:val="19"/>
        </w:numPr>
        <w:ind w:left="0"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обеспечение на исполнение обязательств по Договору и обеспечение на возврат авансовых платежей, то при аномально низком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ценовом предложении сумма обеспечения на исполнение обязательств по Договору увеличивается в 1,5 (полтора) раза от первоначально установленной, но любом случае должна быть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b/>
          <w:i/>
          <w:color w:val="000000"/>
          <w:sz w:val="20"/>
          <w:szCs w:val="20"/>
        </w:rPr>
        <w:t xml:space="preserve">Вариант 2 (для включения в договоры, заключаемые по результатам закупочных процедур, участниками которых могут быть только субъекты малого и среднего предпринимательства)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80"/>
        <w:numPr>
          <w:ilvl w:val="1"/>
          <w:numId w:val="20"/>
        </w:numPr>
        <w:ind w:left="0"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размещенным в составе закупочной документации, необходимость предоставления Поставщиком обесп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3% (трех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80"/>
        <w:numPr>
          <w:ilvl w:val="1"/>
          <w:numId w:val="20"/>
        </w:numPr>
        <w:ind w:left="0"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более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80"/>
        <w:numPr>
          <w:ilvl w:val="1"/>
          <w:numId w:val="20"/>
        </w:numPr>
        <w:ind w:left="0"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спечение на возврат авансовых платежей, то при аномально низком ценовом предложении требуется предоставить обеспечение на исполнение обязательств по Договору в размере аванса. При этом отдельное обеспечение на возврат авансовых платежей не предоставляется.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80"/>
        <w:numPr>
          <w:ilvl w:val="1"/>
          <w:numId w:val="20"/>
        </w:numPr>
        <w:ind w:left="0"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размещенным в составе закупочной документации, необходимость предоставления Пост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авщиком обеспечения 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80"/>
        <w:numPr>
          <w:ilvl w:val="1"/>
          <w:numId w:val="20"/>
        </w:numPr>
        <w:ind w:left="0"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80"/>
        <w:numPr>
          <w:ilvl w:val="1"/>
          <w:numId w:val="20"/>
        </w:numPr>
        <w:ind w:left="0"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В случае если соглас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но проекту Договора, размещенному в составе закупочной документации, Поставщик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ценовом предложении тре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 При этом отдельное обеспечение на возврат авансовых платежей не предоставляется.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80"/>
        <w:numPr>
          <w:ilvl w:val="0"/>
          <w:numId w:val="21"/>
        </w:numPr>
        <w:ind w:left="0"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Обеспечение исполнения Договора может быть представлено в форме внесения денежных средств на счет Покупателя (перечисления обеспечительного п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латежа) или в форме независимой гарантии. Выбор способа обеспечения по Договору осуществляется участником закупки (Поставщиком) самостоятельно. Предоставление обеспечения иным, не указанным в извещении и/или документации о закупке способом, не допускается.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80"/>
        <w:numPr>
          <w:ilvl w:val="0"/>
          <w:numId w:val="21"/>
        </w:numPr>
        <w:ind w:left="0"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Обеспечение исполнения Договора, предусмотренное в пункте 1, предоставляется до заключения Договора.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80"/>
        <w:numPr>
          <w:ilvl w:val="0"/>
          <w:numId w:val="21"/>
        </w:numPr>
        <w:ind w:left="0"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Обеспечение исполнения Договора, предусмотренное в пункте 1, предоставляется на период исполнения 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поставке товаров/ выполнению работ/ оказанию услуг в соответствии с условиями Договора в полном объеме.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80"/>
        <w:numPr>
          <w:ilvl w:val="0"/>
          <w:numId w:val="21"/>
        </w:numPr>
        <w:ind w:left="0"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Договором срока исполнения обязательств по Договору.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80"/>
        <w:numPr>
          <w:ilvl w:val="0"/>
          <w:numId w:val="21"/>
        </w:numPr>
        <w:ind w:left="0"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исляются на расчетный счет Покупателя, указанный в извещении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80"/>
        <w:numPr>
          <w:ilvl w:val="0"/>
          <w:numId w:val="21"/>
        </w:numPr>
        <w:ind w:left="0"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В случае принятия решения о предоставлении обеспечения исполнения 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гарантам, установленным в извещении и/или документации о закупке.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80"/>
        <w:numPr>
          <w:ilvl w:val="0"/>
          <w:numId w:val="21"/>
        </w:numPr>
        <w:ind w:left="0"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В случае продления срока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организационно-распорядительными документами Покупателя, регламентирующим порядок работы с обеспечением.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80"/>
        <w:numPr>
          <w:ilvl w:val="0"/>
          <w:numId w:val="21"/>
        </w:numPr>
        <w:ind w:left="0"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изменений.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80"/>
        <w:numPr>
          <w:ilvl w:val="0"/>
          <w:numId w:val="18"/>
        </w:numPr>
        <w:ind w:left="0"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Если в проекте Дог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овора, размещенного в составе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 условия предоставления о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беспечения исполнения обязательств подлежат включению в приложение 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организационно-распорядительными документами Покупателя.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tbl>
      <w:tblPr>
        <w:tblW w:w="10174" w:type="dxa"/>
        <w:tblInd w:w="-109" w:type="dxa"/>
        <w:tblLayout w:type="fixed"/>
        <w:tblLook w:val="04A0" w:firstRow="1" w:lastRow="0" w:firstColumn="1" w:lastColumn="0" w:noHBand="0" w:noVBand="1"/>
      </w:tblPr>
      <w:tblGrid>
        <w:gridCol w:w="5210"/>
        <w:gridCol w:w="4964"/>
      </w:tblGrid>
      <w:tr>
        <w:tblPrEx/>
        <w:trPr>
          <w:trHeight w:val="908"/>
        </w:trPr>
        <w:tc>
          <w:tcPr>
            <w:tcW w:w="5210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</w:rPr>
              <w:t xml:space="preserve">Покупатель:</w:t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</w:rPr>
              <w:t xml:space="preserve">_____________________/ </w:t>
            </w:r>
            <w:r>
              <w:rPr>
                <w:rFonts w:ascii="Tinos" w:hAnsi="Tinos" w:eastAsia="Tinos" w:cs="Tinos"/>
                <w:b/>
                <w:bCs/>
              </w:rPr>
              <w:t xml:space="preserve">А.И. Таранков</w:t>
            </w:r>
            <w:r>
              <w:rPr>
                <w:rFonts w:ascii="Tinos" w:hAnsi="Tinos" w:eastAsia="Tinos" w:cs="Tinos"/>
                <w:b/>
                <w:bCs/>
              </w:rPr>
              <w:t xml:space="preserve"> /</w:t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</w:tc>
        <w:tc>
          <w:tcPr>
            <w:tcW w:w="4964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</w:rPr>
              <w:t xml:space="preserve">Поставщик:</w:t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</w:rPr>
              <w:t xml:space="preserve">_____________________/ ____ /</w:t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</w:tc>
      </w:tr>
      <w:tr>
        <w:tblPrEx/>
        <w:trPr>
          <w:trHeight w:val="387"/>
        </w:trPr>
        <w:tc>
          <w:tcPr>
            <w:tcW w:w="5210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</w:rPr>
              <w:t xml:space="preserve">М.П.</w:t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</w:tc>
        <w:tc>
          <w:tcPr>
            <w:tcW w:w="4964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</w:rPr>
              <w:t xml:space="preserve">М.П.</w:t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</w:tc>
      </w:tr>
      <w:tr>
        <w:tblPrEx/>
        <w:trPr>
          <w:trHeight w:val="686"/>
        </w:trPr>
        <w:tc>
          <w:tcPr>
            <w:tcW w:w="5210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</w:rPr>
              <w:t xml:space="preserve">«_____»_____________20___г.</w:t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</w:tc>
        <w:tc>
          <w:tcPr>
            <w:tcW w:w="4964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</w:rPr>
              <w:t xml:space="preserve">«_____» _____________20___г.</w:t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</w:tc>
      </w:tr>
    </w:tbl>
    <w:p>
      <w:pPr>
        <w:jc w:val="center"/>
        <w:spacing w:after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spacing w:after="0" w:line="17" w:lineRule="atLeast"/>
        <w:tabs>
          <w:tab w:val="left" w:pos="4109" w:leader="none"/>
        </w:tabs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tabs>
          <w:tab w:val="left" w:pos="4109" w:leader="none"/>
        </w:tabs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tabs>
          <w:tab w:val="left" w:pos="4109" w:leader="none"/>
        </w:tabs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tabs>
          <w:tab w:val="left" w:pos="4109" w:leader="none"/>
        </w:tabs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tabs>
          <w:tab w:val="left" w:pos="4109" w:leader="none"/>
        </w:tabs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tabs>
          <w:tab w:val="left" w:pos="4109" w:leader="none"/>
        </w:tabs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sectPr>
      <w:footnotePr/>
      <w:endnotePr/>
      <w:type w:val="nextPage"/>
      <w:pgSz w:w="11906" w:h="16838" w:orient="portrait"/>
      <w:pgMar w:top="709" w:right="849" w:bottom="567" w:left="993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nos">
    <w:panose1 w:val="02000603000000000000"/>
  </w:font>
  <w:font w:name="Symbol">
    <w:panose1 w:val="05050102010706020507"/>
  </w:font>
  <w:font w:name="Wingdings">
    <w:panose1 w:val="05000000000000000000"/>
  </w:font>
  <w:font w:name="Calibri">
    <w:panose1 w:val="020F0502020204030204"/>
  </w:font>
  <w:font w:name="Tahoma">
    <w:panose1 w:val="020B0604030504040204"/>
  </w:font>
  <w:font w:name="Courier New">
    <w:panose1 w:val="02070309020205020404"/>
  </w:font>
  <w:font w:name="Arial Narrow">
    <w:panose1 w:val="020B0606020202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105986287"/>
      <w:docPartObj>
        <w:docPartGallery w:val="Page Numbers (Bottom of Page)"/>
        <w:docPartUnique w:val="true"/>
      </w:docPartObj>
      <w:rPr/>
    </w:sdtPr>
    <w:sdtContent>
      <w:p>
        <w:pPr>
          <w:pStyle w:val="107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 xml:space="preserve">19</w:t>
        </w:r>
        <w:r>
          <w:fldChar w:fldCharType="end"/>
        </w:r>
        <w:r/>
      </w:p>
    </w:sdtContent>
  </w:sdt>
  <w:p>
    <w:pPr>
      <w:pStyle w:val="1075"/>
    </w:pPr>
    <w:r/>
    <w:r/>
  </w:p>
  <w:p>
    <w:pPr>
      <w:pStyle w:val="1075"/>
    </w:pPr>
    <w:r/>
    <w:r/>
  </w:p>
  <w:p>
    <w:pPr>
      <w:pStyle w:val="1075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1047"/>
        <w:jc w:val="both"/>
        <w:spacing w:before="0" w:after="0" w:line="17" w:lineRule="atLeast"/>
        <w:rPr>
          <w:rFonts w:ascii="Tinos" w:hAnsi="Tinos" w:cs="Tinos"/>
          <w:i/>
          <w:sz w:val="18"/>
          <w:szCs w:val="18"/>
        </w:rPr>
      </w:pPr>
      <w:r>
        <w:rPr>
          <w:rStyle w:val="1065"/>
          <w:i/>
        </w:rPr>
        <w:footnoteRef/>
      </w:r>
      <w:r>
        <w:rPr>
          <w:i/>
        </w:rPr>
        <w:t xml:space="preserve"> </w:t>
      </w:r>
      <w:r>
        <w:rPr>
          <w:rFonts w:ascii="Tinos" w:hAnsi="Tinos" w:eastAsia="Tinos" w:cs="Tinos"/>
          <w:i/>
          <w:sz w:val="18"/>
          <w:szCs w:val="18"/>
        </w:rPr>
        <w:t xml:space="preserve">Пункт включается в условия договора, заключаемого с контрагентом, имеющим признаки аффилированности с Обществом).</w:t>
      </w:r>
      <w:r>
        <w:rPr>
          <w:rFonts w:ascii="Tinos" w:hAnsi="Tinos" w:cs="Tinos"/>
          <w:i/>
          <w:sz w:val="18"/>
          <w:szCs w:val="18"/>
        </w:rPr>
      </w:r>
      <w:r>
        <w:rPr>
          <w:rFonts w:ascii="Tinos" w:hAnsi="Tinos" w:cs="Tinos"/>
          <w:i/>
          <w:sz w:val="18"/>
          <w:szCs w:val="18"/>
        </w:rPr>
      </w:r>
    </w:p>
  </w:footnote>
  <w:footnote w:id="3">
    <w:p>
      <w:pPr>
        <w:pStyle w:val="1119"/>
        <w:spacing w:before="0" w:after="0" w:line="17" w:lineRule="atLeast"/>
        <w:tabs>
          <w:tab w:val="left" w:pos="-142" w:leader="none"/>
        </w:tabs>
        <w:rPr>
          <w:rFonts w:ascii="Tinos" w:hAnsi="Tinos" w:cs="Tinos"/>
          <w:i/>
          <w:sz w:val="18"/>
          <w:szCs w:val="18"/>
        </w:rPr>
      </w:pPr>
      <w:r>
        <w:rPr>
          <w:rStyle w:val="1120"/>
        </w:rPr>
        <w:footnoteRef/>
      </w:r>
      <w:r>
        <w:rPr>
          <w:rStyle w:val="1120"/>
        </w:rPr>
        <w:t xml:space="preserve"> </w:t>
      </w:r>
      <w:r>
        <w:rPr>
          <w:rFonts w:ascii="Tinos" w:hAnsi="Tinos" w:eastAsia="Tinos" w:cs="Tinos"/>
          <w:i/>
          <w:sz w:val="18"/>
          <w:szCs w:val="18"/>
        </w:rPr>
        <w:t xml:space="preserve">Включается, если договором предусмотрено обеспечение в форме независимой гарантии.</w:t>
      </w:r>
      <w:r>
        <w:rPr>
          <w:rFonts w:ascii="Tinos" w:hAnsi="Tinos" w:cs="Tinos"/>
          <w:i/>
          <w:sz w:val="18"/>
          <w:szCs w:val="18"/>
        </w:rPr>
      </w:r>
      <w:r>
        <w:rPr>
          <w:rFonts w:ascii="Tinos" w:hAnsi="Tinos" w:cs="Tinos"/>
          <w:i/>
          <w:sz w:val="18"/>
          <w:szCs w:val="18"/>
        </w:rPr>
      </w:r>
    </w:p>
  </w:footnote>
  <w:footnote w:id="4">
    <w:p>
      <w:pPr>
        <w:pStyle w:val="1047"/>
        <w:spacing w:before="0" w:after="0" w:line="17" w:lineRule="atLeast"/>
      </w:pPr>
      <w:r>
        <w:rPr>
          <w:rStyle w:val="1065"/>
          <w:rFonts w:ascii="Tinos" w:hAnsi="Tinos" w:eastAsia="Tinos" w:cs="Tinos"/>
          <w:sz w:val="18"/>
          <w:szCs w:val="18"/>
        </w:rPr>
        <w:footnoteRef/>
      </w:r>
      <w:r>
        <w:rPr>
          <w:rFonts w:ascii="Tinos" w:hAnsi="Tinos" w:eastAsia="Tinos" w:cs="Tinos"/>
          <w:sz w:val="18"/>
          <w:szCs w:val="18"/>
        </w:rPr>
        <w:t xml:space="preserve"> </w:t>
      </w:r>
      <w:r>
        <w:rPr>
          <w:rFonts w:ascii="Tinos" w:hAnsi="Tinos" w:eastAsia="Tinos" w:cs="Tinos"/>
          <w:i/>
          <w:sz w:val="18"/>
          <w:szCs w:val="18"/>
        </w:rPr>
        <w:t xml:space="preserve">Включается в текст договора только в случае наличия в кон</w:t>
      </w:r>
      <w:r>
        <w:rPr>
          <w:rFonts w:ascii="Tinos" w:hAnsi="Tinos" w:eastAsia="Tinos" w:cs="Tinos"/>
          <w:i/>
          <w:sz w:val="18"/>
          <w:szCs w:val="18"/>
        </w:rPr>
        <w:t xml:space="preserve">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  <w:r/>
    </w:p>
  </w:footnote>
  <w:footnote w:id="5">
    <w:p>
      <w:pPr>
        <w:pStyle w:val="1047"/>
        <w:spacing w:before="0" w:beforeAutospacing="0" w:after="0" w:afterAutospacing="0" w:line="17" w:lineRule="atLeast"/>
        <w:rPr>
          <w:rFonts w:ascii="Tinos" w:hAnsi="Tinos" w:cs="Tinos"/>
          <w:sz w:val="18"/>
          <w:szCs w:val="18"/>
        </w:rPr>
      </w:pPr>
      <w:r>
        <w:rPr>
          <w:rStyle w:val="1065"/>
          <w:rFonts w:ascii="Tinos" w:hAnsi="Tinos" w:eastAsia="Tinos" w:cs="Tinos"/>
          <w:sz w:val="18"/>
          <w:szCs w:val="18"/>
        </w:rPr>
        <w:footnoteRef/>
      </w:r>
      <w:r>
        <w:rPr>
          <w:rFonts w:ascii="Tinos" w:hAnsi="Tinos" w:eastAsia="Tinos" w:cs="Tinos"/>
          <w:sz w:val="18"/>
          <w:szCs w:val="18"/>
        </w:rPr>
        <w:t xml:space="preserve"> </w:t>
      </w:r>
      <w:r>
        <w:rPr>
          <w:rFonts w:ascii="Tinos" w:hAnsi="Tinos" w:eastAsia="Tinos" w:cs="Tinos"/>
          <w:i/>
          <w:iCs/>
          <w:sz w:val="18"/>
          <w:szCs w:val="18"/>
          <w:highlight w:val="white"/>
        </w:rPr>
        <w:t xml:space="preserve">Абзац не распространяется на обязательства по оплате субъектам малого и среднего предпринимательства.</w:t>
      </w:r>
      <w:r>
        <w:rPr>
          <w:rFonts w:ascii="Tinos" w:hAnsi="Tinos" w:cs="Tinos"/>
          <w:sz w:val="18"/>
          <w:szCs w:val="18"/>
        </w:rPr>
      </w:r>
      <w:r>
        <w:rPr>
          <w:rFonts w:ascii="Tinos" w:hAnsi="Tinos" w:cs="Tinos"/>
          <w:sz w:val="18"/>
          <w:szCs w:val="18"/>
        </w:rPr>
      </w:r>
    </w:p>
  </w:footnote>
  <w:footnote w:id="6">
    <w:p>
      <w:pPr>
        <w:pStyle w:val="1047"/>
        <w:spacing w:before="0" w:after="0" w:line="17" w:lineRule="atLeast"/>
        <w:rPr>
          <w:rFonts w:ascii="Tinos" w:hAnsi="Tinos" w:cs="Tinos"/>
          <w:sz w:val="18"/>
          <w:szCs w:val="18"/>
        </w:rPr>
      </w:pPr>
      <w:r>
        <w:rPr>
          <w:rStyle w:val="1065"/>
          <w:rFonts w:ascii="Tinos" w:hAnsi="Tinos" w:eastAsia="Tinos" w:cs="Tinos"/>
          <w:sz w:val="18"/>
          <w:szCs w:val="18"/>
        </w:rPr>
        <w:footnoteRef/>
      </w:r>
      <w:r>
        <w:rPr>
          <w:rFonts w:ascii="Tinos" w:hAnsi="Tinos" w:eastAsia="Tinos" w:cs="Tinos"/>
          <w:sz w:val="18"/>
          <w:szCs w:val="18"/>
        </w:rPr>
        <w:t xml:space="preserve"> </w:t>
      </w:r>
      <w:r>
        <w:rPr>
          <w:rFonts w:ascii="Tinos" w:hAnsi="Tinos" w:eastAsia="Tinos" w:cs="Tinos"/>
          <w:i/>
          <w:sz w:val="18"/>
          <w:szCs w:val="18"/>
        </w:rPr>
        <w:t xml:space="preserve">Условия применения и содержание может быть скорректировано в соответствии с организационно-распорядительным документом Покупателя и протоколом закупочного органа Покупателя.</w:t>
      </w:r>
      <w:r>
        <w:rPr>
          <w:rFonts w:ascii="Tinos" w:hAnsi="Tinos" w:cs="Tinos"/>
          <w:sz w:val="18"/>
          <w:szCs w:val="18"/>
        </w:rPr>
      </w:r>
      <w:r>
        <w:rPr>
          <w:rFonts w:ascii="Tinos" w:hAnsi="Tinos" w:cs="Tinos"/>
          <w:sz w:val="18"/>
          <w:szCs w:val="18"/>
        </w:rPr>
      </w:r>
    </w:p>
  </w:footnote>
  <w:footnote w:id="7">
    <w:p>
      <w:pPr>
        <w:pStyle w:val="1047"/>
        <w:spacing w:before="0" w:after="0" w:line="17" w:lineRule="atLeast"/>
        <w:rPr>
          <w:rFonts w:ascii="Tinos" w:hAnsi="Tinos" w:cs="Tinos"/>
          <w:sz w:val="18"/>
          <w:szCs w:val="18"/>
        </w:rPr>
      </w:pPr>
      <w:r>
        <w:rPr>
          <w:rStyle w:val="1065"/>
          <w:rFonts w:ascii="Tinos" w:hAnsi="Tinos" w:eastAsia="Tinos" w:cs="Tinos"/>
          <w:sz w:val="18"/>
          <w:szCs w:val="18"/>
        </w:rPr>
        <w:footnoteRef/>
      </w:r>
      <w:r>
        <w:rPr>
          <w:rFonts w:ascii="Tinos" w:hAnsi="Tinos" w:eastAsia="Tinos" w:cs="Tinos"/>
          <w:sz w:val="18"/>
          <w:szCs w:val="18"/>
        </w:rPr>
        <w:t xml:space="preserve"> </w:t>
      </w:r>
      <w:r>
        <w:rPr>
          <w:rFonts w:ascii="Tinos" w:hAnsi="Tinos" w:eastAsia="Tinos" w:cs="Tinos"/>
          <w:i/>
          <w:sz w:val="18"/>
          <w:szCs w:val="18"/>
        </w:rPr>
        <w:t xml:space="preserve">Условия об обеспечении включаются в соответствии с организационно-распорядительным документом Покупателя и протоколом закупочного органа Покупателя. В соответствии с п.8.1.15.10 Единого Стандарта закупок</w:t>
      </w:r>
      <w:r>
        <w:rPr>
          <w:rFonts w:ascii="Tinos" w:hAnsi="Tinos" w:eastAsia="Tinos" w:cs="Tinos"/>
          <w:i/>
          <w:sz w:val="18"/>
          <w:szCs w:val="18"/>
        </w:rPr>
        <w:t xml:space="preserve"> ПАО «Россети» (Положение о закупке) обеспечение исполнения договора, заключенного по результатам спецторгов, предоставляется Поставщиком до заключения договора. С учетом выбранного субъектом МСП на стадии закупки способа обеспечения раздел корректируется.</w:t>
      </w:r>
      <w:r>
        <w:rPr>
          <w:rFonts w:ascii="Tinos" w:hAnsi="Tinos" w:cs="Tinos"/>
          <w:sz w:val="18"/>
          <w:szCs w:val="18"/>
        </w:rPr>
      </w:r>
      <w:r>
        <w:rPr>
          <w:rFonts w:ascii="Tinos" w:hAnsi="Tinos" w:cs="Tinos"/>
          <w:sz w:val="18"/>
          <w:szCs w:val="18"/>
        </w:rPr>
      </w:r>
    </w:p>
  </w:footnote>
  <w:footnote w:id="8">
    <w:p>
      <w:pPr>
        <w:pStyle w:val="1047"/>
        <w:spacing w:before="0" w:beforeAutospacing="0" w:after="0" w:afterAutospacing="0" w:line="17" w:lineRule="atLeast"/>
        <w:rPr>
          <w:rFonts w:ascii="Tinos" w:hAnsi="Tinos" w:cs="Tinos"/>
          <w:sz w:val="18"/>
          <w:szCs w:val="18"/>
        </w:rPr>
      </w:pPr>
      <w:r>
        <w:rPr>
          <w:rStyle w:val="1065"/>
          <w:rFonts w:ascii="Tinos" w:hAnsi="Tinos" w:eastAsia="Tinos" w:cs="Tinos"/>
          <w:sz w:val="18"/>
          <w:szCs w:val="18"/>
        </w:rPr>
        <w:footnoteRef/>
      </w:r>
      <w:r>
        <w:rPr>
          <w:rFonts w:ascii="Tinos" w:hAnsi="Tinos" w:eastAsia="Tinos" w:cs="Tinos"/>
          <w:sz w:val="18"/>
          <w:szCs w:val="18"/>
        </w:rPr>
        <w:t xml:space="preserve"> </w:t>
      </w:r>
      <w:r>
        <w:rPr>
          <w:rFonts w:ascii="Tinos" w:hAnsi="Tinos" w:eastAsia="Tinos" w:cs="Tinos"/>
          <w:bCs/>
          <w:i/>
          <w:sz w:val="18"/>
          <w:szCs w:val="18"/>
        </w:rPr>
        <w:t xml:space="preserve"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rPr>
          <w:rFonts w:ascii="Tinos" w:hAnsi="Tinos" w:eastAsia="Tinos" w:cs="Tinos"/>
          <w:sz w:val="18"/>
          <w:szCs w:val="18"/>
        </w:rPr>
        <w:t xml:space="preserve">.</w:t>
      </w:r>
      <w:r>
        <w:rPr>
          <w:rFonts w:ascii="Tinos" w:hAnsi="Tinos" w:cs="Tinos"/>
          <w:sz w:val="18"/>
          <w:szCs w:val="18"/>
        </w:rPr>
      </w:r>
      <w:r>
        <w:rPr>
          <w:rFonts w:ascii="Tinos" w:hAnsi="Tinos" w:cs="Tinos"/>
          <w:sz w:val="18"/>
          <w:szCs w:val="18"/>
        </w:rPr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23" w:hanging="360"/>
        <w:tabs>
          <w:tab w:val="num" w:pos="7023" w:leader="none"/>
        </w:tabs>
      </w:pPr>
    </w:lvl>
    <w:lvl w:ilvl="1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1418" w:hanging="360"/>
      </w:pPr>
      <w:rPr>
        <w:rFonts w:ascii="Times New Roman" w:hAnsi="Times New Roman" w:eastAsia="Times New Roman" w:cs="Times New Roman"/>
        <w:color w:val="000000"/>
        <w:sz w:val="24"/>
      </w:rPr>
    </w:lvl>
    <w:lvl w:ilvl="1">
      <w:start w:val="1"/>
      <w:numFmt w:val="decimal"/>
      <w:isLgl w:val="false"/>
      <w:suff w:val="tab"/>
      <w:lvlText w:val="%2."/>
      <w:lvlJc w:val="right"/>
      <w:pPr>
        <w:ind w:left="2138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3578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4298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738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6458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7178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525" w:hanging="390"/>
      </w:pPr>
      <w:rPr>
        <w:b w:val="0"/>
        <w:i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1."/>
      <w:lvlJc w:val="left"/>
      <w:pPr>
        <w:ind w:left="360" w:hanging="360"/>
        <w:tabs>
          <w:tab w:val="num" w:pos="360" w:leader="none"/>
        </w:tabs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  <w:rPr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  <w:rPr>
        <w:b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  <w:rPr>
        <w:b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  <w:rPr>
        <w:b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  <w:rPr>
        <w:b w:val="0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10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1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525" w:hanging="390"/>
      </w:pPr>
      <w:rPr>
        <w:b w:val="0"/>
        <w:i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17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1"/>
      <w:numFmt w:val="decimal"/>
      <w:pStyle w:val="1061"/>
      <w:isLgl w:val="false"/>
      <w:suff w:val="tab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1062"/>
      <w:isLgl w:val="false"/>
      <w:suff w:val="tab"/>
      <w:lvlText w:val="%1.%2"/>
      <w:lvlJc w:val="left"/>
      <w:pPr>
        <w:ind w:left="2705" w:hanging="720"/>
      </w:pPr>
      <w:rPr>
        <w:rFonts w:hint="default" w:ascii="Times New Roman" w:hAnsi="Times New Roman" w:cs="Times New Roman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1063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6.2.1.%4"/>
      <w:lvlJc w:val="left"/>
      <w:pPr>
        <w:ind w:left="1222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582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22">
    <w:multiLevelType w:val="hybridMultilevel"/>
    <w:lvl w:ilvl="0">
      <w:start w:val="10"/>
      <w:numFmt w:val="decimal"/>
      <w:isLgl w:val="false"/>
      <w:suff w:val="tab"/>
      <w:lvlText w:val="%1."/>
      <w:lvlJc w:val="right"/>
      <w:pPr>
        <w:ind w:left="1418" w:hanging="360"/>
      </w:pPr>
      <w:rPr>
        <w:rFonts w:ascii="Times New Roman" w:hAnsi="Times New Roman" w:eastAsia="Times New Roman" w:cs="Times New Roman"/>
        <w:color w:val="000000"/>
        <w:sz w:val="24"/>
      </w:rPr>
    </w:lvl>
    <w:lvl w:ilvl="1">
      <w:start w:val="1"/>
      <w:numFmt w:val="decimal"/>
      <w:isLgl w:val="false"/>
      <w:suff w:val="tab"/>
      <w:lvlText w:val="%2."/>
      <w:lvlJc w:val="right"/>
      <w:pPr>
        <w:ind w:left="2138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3578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4298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738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6458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7178" w:hanging="180"/>
      </w:pPr>
    </w:lvl>
  </w:abstractNum>
  <w:abstractNum w:abstractNumId="23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8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multiLevelType w:val="hybridMultilevel"/>
    <w:lvl w:ilvl="0">
      <w:start w:val="2"/>
      <w:numFmt w:val="decimal"/>
      <w:isLgl w:val="false"/>
      <w:suff w:val="tab"/>
      <w:lvlText w:val="%1."/>
      <w:lvlJc w:val="right"/>
      <w:pPr>
        <w:ind w:left="1418" w:hanging="360"/>
      </w:pPr>
      <w:rPr>
        <w:rFonts w:ascii="Times New Roman" w:hAnsi="Times New Roman" w:eastAsia="Times New Roman" w:cs="Times New Roman"/>
        <w:color w:val="000000"/>
        <w:sz w:val="24"/>
      </w:rPr>
    </w:lvl>
    <w:lvl w:ilvl="1">
      <w:start w:val="1"/>
      <w:numFmt w:val="decimal"/>
      <w:isLgl w:val="false"/>
      <w:suff w:val="tab"/>
      <w:lvlText w:val="%2."/>
      <w:lvlJc w:val="right"/>
      <w:pPr>
        <w:ind w:left="2138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3578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4298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738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6458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7178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32">
    <w:multiLevelType w:val="hybridMultilevel"/>
    <w:styleLink w:val="1066"/>
    <w:lvl w:ilvl="0">
      <w:start w:val="2"/>
      <w:numFmt w:val="decimal"/>
      <w:pStyle w:val="1066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3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3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38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5" w:hanging="360"/>
      </w:pPr>
      <w:rPr>
        <w:rFonts w:hint="default"/>
        <w:b w:val="0"/>
        <w:sz w:val="2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816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4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2"/>
      <w:lvl w:ilvl="0">
        <w:start w:val="2"/>
        <w:numFmt w:val="decimal"/>
        <w:isLgl w:val="false"/>
        <w:suff w:val="tab"/>
        <w:lvlText w:val=""/>
        <w:lvlJc w:val="left"/>
        <w:pPr/>
      </w:lvl>
    </w:lvlOverride>
    <w:lvlOverride w:ilvl="1">
      <w:startOverride w:val="1"/>
      <w:lvl w:ilvl="1">
        <w:start w:val="1"/>
        <w:numFmt w:val="decimal"/>
        <w:isLgl w:val="false"/>
        <w:suff w:val="tab"/>
        <w:lvlText w:val="%1.%2."/>
        <w:lvlJc w:val="left"/>
        <w:pPr>
          <w:ind w:left="360" w:hanging="360"/>
          <w:tabs>
            <w:tab w:val="num" w:pos="360" w:leader="none"/>
          </w:tabs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"/>
        <w:lvlJc w:val="left"/>
        <w:pPr/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"/>
        <w:lvlJc w:val="left"/>
        <w:pPr/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"/>
        <w:lvlJc w:val="left"/>
        <w:pPr/>
      </w:lvl>
    </w:lvlOverride>
  </w:num>
  <w:num w:numId="5">
    <w:abstractNumId w:val="17"/>
  </w:num>
  <w:num w:numId="6">
    <w:abstractNumId w:val="10"/>
  </w:num>
  <w:num w:numId="7">
    <w:abstractNumId w:val="23"/>
  </w:num>
  <w:num w:numId="8">
    <w:abstractNumId w:val="14"/>
  </w:num>
  <w:num w:numId="9">
    <w:abstractNumId w:val="1"/>
  </w:num>
  <w:num w:numId="10">
    <w:abstractNumId w:val="12"/>
  </w:num>
  <w:num w:numId="11">
    <w:abstractNumId w:val="20"/>
  </w:num>
  <w:num w:numId="12">
    <w:abstractNumId w:val="5"/>
  </w:num>
  <w:num w:numId="13">
    <w:abstractNumId w:val="7"/>
  </w:num>
  <w:num w:numId="14">
    <w:abstractNumId w:val="26"/>
  </w:num>
  <w:num w:numId="15">
    <w:abstractNumId w:val="18"/>
  </w:num>
  <w:num w:numId="16">
    <w:abstractNumId w:val="25"/>
  </w:num>
  <w:num w:numId="17">
    <w:abstractNumId w:val="2"/>
  </w:num>
  <w:num w:numId="18">
    <w:abstractNumId w:val="22"/>
  </w:num>
  <w:num w:numId="19">
    <w:abstractNumId w:val="24"/>
  </w:num>
  <w:num w:numId="20">
    <w:abstractNumId w:val="31"/>
  </w:num>
  <w:num w:numId="21">
    <w:abstractNumId w:val="29"/>
  </w:num>
  <w:num w:numId="22">
    <w:abstractNumId w:val="32"/>
  </w:num>
  <w:num w:numId="23">
    <w:abstractNumId w:val="15"/>
  </w:num>
  <w:num w:numId="24">
    <w:abstractNumId w:val="8"/>
  </w:num>
  <w:num w:numId="25">
    <w:abstractNumId w:val="19"/>
  </w:num>
  <w:num w:numId="26">
    <w:abstractNumId w:val="27"/>
  </w:num>
  <w:num w:numId="27">
    <w:abstractNumId w:val="4"/>
  </w:num>
  <w:num w:numId="28">
    <w:abstractNumId w:val="34"/>
    <w:lvlOverride w:ilvl="0">
      <w:startOverride w:val="2"/>
      <w:lvl w:ilvl="0">
        <w:start w:val="2"/>
        <w:numFmt w:val="decimal"/>
        <w:isLgl w:val="false"/>
        <w:suff w:val="tab"/>
        <w:lvlText w:val=""/>
        <w:lvlJc w:val="left"/>
        <w:pPr/>
      </w:lvl>
    </w:lvlOverride>
    <w:lvlOverride w:ilvl="1">
      <w:startOverride w:val="1"/>
      <w:lvl w:ilvl="1">
        <w:start w:val="1"/>
        <w:numFmt w:val="decimal"/>
        <w:isLgl w:val="false"/>
        <w:suff w:val="tab"/>
        <w:lvlText w:val="%1.%2."/>
        <w:lvlJc w:val="left"/>
        <w:pPr>
          <w:ind w:left="360" w:hanging="360"/>
          <w:tabs>
            <w:tab w:val="num" w:pos="360" w:leader="none"/>
          </w:tabs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"/>
        <w:lvlJc w:val="left"/>
        <w:pPr/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"/>
        <w:lvlJc w:val="left"/>
        <w:pPr/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"/>
        <w:lvlJc w:val="left"/>
        <w:pPr/>
      </w:lvl>
    </w:lvlOverride>
  </w:num>
  <w:num w:numId="29">
    <w:abstractNumId w:val="3"/>
  </w:num>
  <w:num w:numId="30">
    <w:abstractNumId w:val="16"/>
  </w:num>
  <w:num w:numId="31">
    <w:abstractNumId w:val="33"/>
    <w:lvlOverride w:ilvl="0">
      <w:startOverride w:val="2"/>
      <w:lvl w:ilvl="0">
        <w:start w:val="2"/>
        <w:numFmt w:val="decimal"/>
        <w:isLgl w:val="false"/>
        <w:suff w:val="tab"/>
        <w:lvlText w:val=""/>
        <w:lvlJc w:val="left"/>
        <w:pPr/>
      </w:lvl>
    </w:lvlOverride>
    <w:lvlOverride w:ilvl="1">
      <w:startOverride w:val="1"/>
      <w:lvl w:ilvl="1">
        <w:start w:val="1"/>
        <w:numFmt w:val="decimal"/>
        <w:isLgl w:val="false"/>
        <w:suff w:val="tab"/>
        <w:lvlText w:val="%1.%2."/>
        <w:lvlJc w:val="left"/>
        <w:pPr>
          <w:ind w:left="360" w:hanging="360"/>
          <w:tabs>
            <w:tab w:val="num" w:pos="360" w:leader="none"/>
          </w:tabs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"/>
        <w:lvlJc w:val="left"/>
        <w:pPr/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"/>
        <w:lvlJc w:val="left"/>
        <w:pPr/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"/>
        <w:lvlJc w:val="left"/>
        <w:pPr/>
      </w:lvl>
    </w:lvlOverride>
  </w:num>
  <w:num w:numId="32">
    <w:abstractNumId w:val="35"/>
  </w:num>
  <w:num w:numId="33">
    <w:abstractNumId w:val="11"/>
  </w:num>
  <w:num w:numId="34">
    <w:abstractNumId w:val="36"/>
  </w:num>
  <w:num w:numId="35">
    <w:abstractNumId w:val="30"/>
  </w:num>
  <w:num w:numId="36">
    <w:abstractNumId w:val="9"/>
  </w:num>
  <w:num w:numId="37">
    <w:abstractNumId w:val="28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  <w:lvlOverride w:ilvl="0">
      <w:startOverride w:val="2"/>
      <w:lvl w:ilvl="0">
        <w:start w:val="2"/>
        <w:numFmt w:val="decimal"/>
        <w:isLgl w:val="false"/>
        <w:suff w:val="tab"/>
        <w:lvlText w:val=""/>
        <w:lvlJc w:val="left"/>
        <w:pPr/>
      </w:lvl>
    </w:lvlOverride>
    <w:lvlOverride w:ilvl="1">
      <w:startOverride w:val="1"/>
      <w:lvl w:ilvl="1">
        <w:start w:val="1"/>
        <w:numFmt w:val="decimal"/>
        <w:isLgl w:val="false"/>
        <w:suff w:val="tab"/>
        <w:lvlText w:val="%1.%2."/>
        <w:lvlJc w:val="left"/>
        <w:pPr>
          <w:ind w:left="360" w:hanging="360"/>
          <w:tabs>
            <w:tab w:val="num" w:pos="360" w:leader="none"/>
          </w:tabs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"/>
        <w:lvlJc w:val="left"/>
        <w:pPr/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"/>
        <w:lvlJc w:val="left"/>
        <w:pPr/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"/>
        <w:lvlJc w:val="left"/>
        <w:pPr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66" w:default="1">
    <w:name w:val="Normal"/>
    <w:qFormat/>
  </w:style>
  <w:style w:type="paragraph" w:styleId="867">
    <w:name w:val="Heading 1"/>
    <w:basedOn w:val="866"/>
    <w:next w:val="866"/>
    <w:link w:val="1067"/>
    <w:uiPriority w:val="9"/>
    <w:qFormat/>
    <w:pPr>
      <w:keepLines/>
      <w:keepNext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868">
    <w:name w:val="Heading 2"/>
    <w:basedOn w:val="866"/>
    <w:next w:val="866"/>
    <w:link w:val="890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869">
    <w:name w:val="Heading 3"/>
    <w:basedOn w:val="866"/>
    <w:next w:val="866"/>
    <w:link w:val="1068"/>
    <w:uiPriority w:val="9"/>
    <w:semiHidden/>
    <w:unhideWhenUsed/>
    <w:qFormat/>
    <w:pPr>
      <w:keepLines/>
      <w:keepNext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870">
    <w:name w:val="Heading 4"/>
    <w:basedOn w:val="866"/>
    <w:next w:val="866"/>
    <w:link w:val="892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71">
    <w:name w:val="Heading 5"/>
    <w:basedOn w:val="866"/>
    <w:next w:val="866"/>
    <w:link w:val="893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72">
    <w:name w:val="Heading 6"/>
    <w:basedOn w:val="866"/>
    <w:next w:val="866"/>
    <w:link w:val="894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873">
    <w:name w:val="Heading 7"/>
    <w:basedOn w:val="866"/>
    <w:next w:val="866"/>
    <w:link w:val="895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874">
    <w:name w:val="Heading 8"/>
    <w:basedOn w:val="866"/>
    <w:next w:val="866"/>
    <w:link w:val="896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875">
    <w:name w:val="Heading 9"/>
    <w:basedOn w:val="866"/>
    <w:next w:val="866"/>
    <w:link w:val="897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76" w:default="1">
    <w:name w:val="Default Paragraph Font"/>
    <w:uiPriority w:val="1"/>
    <w:semiHidden/>
    <w:unhideWhenUsed/>
  </w:style>
  <w:style w:type="table" w:styleId="87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78" w:default="1">
    <w:name w:val="No List"/>
    <w:uiPriority w:val="99"/>
    <w:semiHidden/>
    <w:unhideWhenUsed/>
  </w:style>
  <w:style w:type="character" w:styleId="879" w:customStyle="1">
    <w:name w:val="Heading 2 Char"/>
    <w:basedOn w:val="876"/>
    <w:uiPriority w:val="9"/>
    <w:rPr>
      <w:rFonts w:ascii="Arial" w:hAnsi="Arial" w:eastAsia="Arial" w:cs="Arial"/>
      <w:sz w:val="34"/>
    </w:rPr>
  </w:style>
  <w:style w:type="character" w:styleId="880" w:customStyle="1">
    <w:name w:val="Heading 4 Char"/>
    <w:basedOn w:val="876"/>
    <w:uiPriority w:val="9"/>
    <w:rPr>
      <w:rFonts w:ascii="Arial" w:hAnsi="Arial" w:eastAsia="Arial" w:cs="Arial"/>
      <w:b/>
      <w:bCs/>
      <w:sz w:val="26"/>
      <w:szCs w:val="26"/>
    </w:rPr>
  </w:style>
  <w:style w:type="character" w:styleId="881" w:customStyle="1">
    <w:name w:val="Heading 5 Char"/>
    <w:basedOn w:val="876"/>
    <w:uiPriority w:val="9"/>
    <w:rPr>
      <w:rFonts w:ascii="Arial" w:hAnsi="Arial" w:eastAsia="Arial" w:cs="Arial"/>
      <w:b/>
      <w:bCs/>
      <w:sz w:val="24"/>
      <w:szCs w:val="24"/>
    </w:rPr>
  </w:style>
  <w:style w:type="character" w:styleId="882" w:customStyle="1">
    <w:name w:val="Heading 6 Char"/>
    <w:basedOn w:val="876"/>
    <w:uiPriority w:val="9"/>
    <w:rPr>
      <w:rFonts w:ascii="Arial" w:hAnsi="Arial" w:eastAsia="Arial" w:cs="Arial"/>
      <w:b/>
      <w:bCs/>
      <w:sz w:val="22"/>
      <w:szCs w:val="22"/>
    </w:rPr>
  </w:style>
  <w:style w:type="character" w:styleId="883" w:customStyle="1">
    <w:name w:val="Heading 7 Char"/>
    <w:basedOn w:val="87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84" w:customStyle="1">
    <w:name w:val="Heading 8 Char"/>
    <w:basedOn w:val="876"/>
    <w:uiPriority w:val="9"/>
    <w:rPr>
      <w:rFonts w:ascii="Arial" w:hAnsi="Arial" w:eastAsia="Arial" w:cs="Arial"/>
      <w:i/>
      <w:iCs/>
      <w:sz w:val="22"/>
      <w:szCs w:val="22"/>
    </w:rPr>
  </w:style>
  <w:style w:type="character" w:styleId="885" w:customStyle="1">
    <w:name w:val="Heading 9 Char"/>
    <w:basedOn w:val="876"/>
    <w:uiPriority w:val="9"/>
    <w:rPr>
      <w:rFonts w:ascii="Arial" w:hAnsi="Arial" w:eastAsia="Arial" w:cs="Arial"/>
      <w:i/>
      <w:iCs/>
      <w:sz w:val="21"/>
      <w:szCs w:val="21"/>
    </w:rPr>
  </w:style>
  <w:style w:type="character" w:styleId="886" w:customStyle="1">
    <w:name w:val="Subtitle Char"/>
    <w:basedOn w:val="876"/>
    <w:uiPriority w:val="11"/>
    <w:rPr>
      <w:sz w:val="24"/>
      <w:szCs w:val="24"/>
    </w:rPr>
  </w:style>
  <w:style w:type="character" w:styleId="887" w:customStyle="1">
    <w:name w:val="Quote Char"/>
    <w:uiPriority w:val="29"/>
    <w:rPr>
      <w:i/>
    </w:rPr>
  </w:style>
  <w:style w:type="character" w:styleId="888" w:customStyle="1">
    <w:name w:val="Intense Quote Char"/>
    <w:uiPriority w:val="30"/>
    <w:rPr>
      <w:i/>
    </w:rPr>
  </w:style>
  <w:style w:type="character" w:styleId="889" w:customStyle="1">
    <w:name w:val="Heading 1 Char"/>
    <w:basedOn w:val="876"/>
    <w:uiPriority w:val="9"/>
    <w:rPr>
      <w:rFonts w:ascii="Arial" w:hAnsi="Arial" w:eastAsia="Arial" w:cs="Arial"/>
      <w:sz w:val="40"/>
      <w:szCs w:val="40"/>
    </w:rPr>
  </w:style>
  <w:style w:type="character" w:styleId="890" w:customStyle="1">
    <w:name w:val="Заголовок 2 Знак"/>
    <w:basedOn w:val="876"/>
    <w:link w:val="868"/>
    <w:uiPriority w:val="9"/>
    <w:rPr>
      <w:rFonts w:ascii="Arial" w:hAnsi="Arial" w:eastAsia="Arial" w:cs="Arial"/>
      <w:sz w:val="34"/>
    </w:rPr>
  </w:style>
  <w:style w:type="character" w:styleId="891" w:customStyle="1">
    <w:name w:val="Heading 3 Char"/>
    <w:basedOn w:val="876"/>
    <w:uiPriority w:val="9"/>
    <w:rPr>
      <w:rFonts w:ascii="Arial" w:hAnsi="Arial" w:eastAsia="Arial" w:cs="Arial"/>
      <w:sz w:val="30"/>
      <w:szCs w:val="30"/>
    </w:rPr>
  </w:style>
  <w:style w:type="character" w:styleId="892" w:customStyle="1">
    <w:name w:val="Заголовок 4 Знак"/>
    <w:basedOn w:val="876"/>
    <w:link w:val="870"/>
    <w:uiPriority w:val="9"/>
    <w:rPr>
      <w:rFonts w:ascii="Arial" w:hAnsi="Arial" w:eastAsia="Arial" w:cs="Arial"/>
      <w:b/>
      <w:bCs/>
      <w:sz w:val="26"/>
      <w:szCs w:val="26"/>
    </w:rPr>
  </w:style>
  <w:style w:type="character" w:styleId="893" w:customStyle="1">
    <w:name w:val="Заголовок 5 Знак"/>
    <w:basedOn w:val="876"/>
    <w:link w:val="871"/>
    <w:uiPriority w:val="9"/>
    <w:rPr>
      <w:rFonts w:ascii="Arial" w:hAnsi="Arial" w:eastAsia="Arial" w:cs="Arial"/>
      <w:b/>
      <w:bCs/>
      <w:sz w:val="24"/>
      <w:szCs w:val="24"/>
    </w:rPr>
  </w:style>
  <w:style w:type="character" w:styleId="894" w:customStyle="1">
    <w:name w:val="Заголовок 6 Знак"/>
    <w:basedOn w:val="876"/>
    <w:link w:val="872"/>
    <w:uiPriority w:val="9"/>
    <w:rPr>
      <w:rFonts w:ascii="Arial" w:hAnsi="Arial" w:eastAsia="Arial" w:cs="Arial"/>
      <w:b/>
      <w:bCs/>
      <w:sz w:val="22"/>
      <w:szCs w:val="22"/>
    </w:rPr>
  </w:style>
  <w:style w:type="character" w:styleId="895" w:customStyle="1">
    <w:name w:val="Заголовок 7 Знак"/>
    <w:basedOn w:val="876"/>
    <w:link w:val="87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96" w:customStyle="1">
    <w:name w:val="Заголовок 8 Знак"/>
    <w:basedOn w:val="876"/>
    <w:link w:val="874"/>
    <w:uiPriority w:val="9"/>
    <w:rPr>
      <w:rFonts w:ascii="Arial" w:hAnsi="Arial" w:eastAsia="Arial" w:cs="Arial"/>
      <w:i/>
      <w:iCs/>
      <w:sz w:val="22"/>
      <w:szCs w:val="22"/>
    </w:rPr>
  </w:style>
  <w:style w:type="character" w:styleId="897" w:customStyle="1">
    <w:name w:val="Заголовок 9 Знак"/>
    <w:basedOn w:val="876"/>
    <w:link w:val="875"/>
    <w:uiPriority w:val="9"/>
    <w:rPr>
      <w:rFonts w:ascii="Arial" w:hAnsi="Arial" w:eastAsia="Arial" w:cs="Arial"/>
      <w:i/>
      <w:iCs/>
      <w:sz w:val="21"/>
      <w:szCs w:val="21"/>
    </w:rPr>
  </w:style>
  <w:style w:type="character" w:styleId="898" w:customStyle="1">
    <w:name w:val="Title Char"/>
    <w:basedOn w:val="876"/>
    <w:uiPriority w:val="10"/>
    <w:rPr>
      <w:sz w:val="48"/>
      <w:szCs w:val="48"/>
    </w:rPr>
  </w:style>
  <w:style w:type="paragraph" w:styleId="899">
    <w:name w:val="Subtitle"/>
    <w:basedOn w:val="866"/>
    <w:next w:val="866"/>
    <w:link w:val="900"/>
    <w:uiPriority w:val="11"/>
    <w:qFormat/>
    <w:pPr>
      <w:spacing w:before="200"/>
    </w:pPr>
    <w:rPr>
      <w:sz w:val="24"/>
      <w:szCs w:val="24"/>
    </w:rPr>
  </w:style>
  <w:style w:type="character" w:styleId="900" w:customStyle="1">
    <w:name w:val="Подзаголовок Знак"/>
    <w:basedOn w:val="876"/>
    <w:link w:val="899"/>
    <w:uiPriority w:val="11"/>
    <w:rPr>
      <w:sz w:val="24"/>
      <w:szCs w:val="24"/>
    </w:rPr>
  </w:style>
  <w:style w:type="paragraph" w:styleId="901">
    <w:name w:val="Quote"/>
    <w:basedOn w:val="866"/>
    <w:next w:val="866"/>
    <w:link w:val="902"/>
    <w:uiPriority w:val="29"/>
    <w:qFormat/>
    <w:pPr>
      <w:ind w:left="720" w:right="720"/>
    </w:pPr>
    <w:rPr>
      <w:i/>
    </w:rPr>
  </w:style>
  <w:style w:type="character" w:styleId="902" w:customStyle="1">
    <w:name w:val="Цитата 2 Знак"/>
    <w:link w:val="901"/>
    <w:uiPriority w:val="29"/>
    <w:rPr>
      <w:i/>
    </w:rPr>
  </w:style>
  <w:style w:type="paragraph" w:styleId="903">
    <w:name w:val="Intense Quote"/>
    <w:basedOn w:val="866"/>
    <w:next w:val="866"/>
    <w:link w:val="90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04" w:customStyle="1">
    <w:name w:val="Выделенная цитата Знак"/>
    <w:link w:val="903"/>
    <w:uiPriority w:val="30"/>
    <w:rPr>
      <w:i/>
    </w:rPr>
  </w:style>
  <w:style w:type="character" w:styleId="905" w:customStyle="1">
    <w:name w:val="Header Char"/>
    <w:basedOn w:val="876"/>
    <w:uiPriority w:val="99"/>
  </w:style>
  <w:style w:type="character" w:styleId="906" w:customStyle="1">
    <w:name w:val="Footer Char"/>
    <w:basedOn w:val="876"/>
    <w:uiPriority w:val="99"/>
  </w:style>
  <w:style w:type="paragraph" w:styleId="907">
    <w:name w:val="Caption"/>
    <w:basedOn w:val="866"/>
    <w:next w:val="866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908" w:customStyle="1">
    <w:name w:val="Caption Char"/>
    <w:uiPriority w:val="99"/>
  </w:style>
  <w:style w:type="table" w:styleId="909" w:customStyle="1">
    <w:name w:val="Table Grid Light"/>
    <w:basedOn w:val="877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910">
    <w:name w:val="Plain Table 1"/>
    <w:basedOn w:val="877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11">
    <w:name w:val="Plain Table 2"/>
    <w:basedOn w:val="877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12">
    <w:name w:val="Plain Table 3"/>
    <w:basedOn w:val="8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13">
    <w:name w:val="Plain Table 4"/>
    <w:basedOn w:val="8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>
    <w:name w:val="Plain Table 5"/>
    <w:basedOn w:val="8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15">
    <w:name w:val="Grid Table 1 Light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 w:customStyle="1">
    <w:name w:val="Grid Table 1 Light - Accent 1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 w:customStyle="1">
    <w:name w:val="Grid Table 1 Light - Accent 2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 w:customStyle="1">
    <w:name w:val="Grid Table 1 Light - Accent 3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 w:customStyle="1">
    <w:name w:val="Grid Table 1 Light - Accent 4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0" w:customStyle="1">
    <w:name w:val="Grid Table 1 Light - Accent 5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1" w:customStyle="1">
    <w:name w:val="Grid Table 1 Light - Accent 6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>
    <w:name w:val="Grid Table 2"/>
    <w:basedOn w:val="8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 w:customStyle="1">
    <w:name w:val="Grid Table 2 - Accent 1"/>
    <w:basedOn w:val="8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 w:customStyle="1">
    <w:name w:val="Grid Table 2 - Accent 2"/>
    <w:basedOn w:val="8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 w:customStyle="1">
    <w:name w:val="Grid Table 2 - Accent 3"/>
    <w:basedOn w:val="8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 w:customStyle="1">
    <w:name w:val="Grid Table 2 - Accent 4"/>
    <w:basedOn w:val="8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 w:customStyle="1">
    <w:name w:val="Grid Table 2 - Accent 5"/>
    <w:basedOn w:val="8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 w:customStyle="1">
    <w:name w:val="Grid Table 2 - Accent 6"/>
    <w:basedOn w:val="8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>
    <w:name w:val="Grid Table 3"/>
    <w:basedOn w:val="8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 w:customStyle="1">
    <w:name w:val="Grid Table 3 - Accent 1"/>
    <w:basedOn w:val="8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 w:customStyle="1">
    <w:name w:val="Grid Table 3 - Accent 2"/>
    <w:basedOn w:val="8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 w:customStyle="1">
    <w:name w:val="Grid Table 3 - Accent 3"/>
    <w:basedOn w:val="8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 w:customStyle="1">
    <w:name w:val="Grid Table 3 - Accent 4"/>
    <w:basedOn w:val="8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 w:customStyle="1">
    <w:name w:val="Grid Table 3 - Accent 5"/>
    <w:basedOn w:val="8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 w:customStyle="1">
    <w:name w:val="Grid Table 3 - Accent 6"/>
    <w:basedOn w:val="8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>
    <w:name w:val="Grid Table 4"/>
    <w:basedOn w:val="877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37" w:customStyle="1">
    <w:name w:val="Grid Table 4 - Accent 1"/>
    <w:basedOn w:val="877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938" w:customStyle="1">
    <w:name w:val="Grid Table 4 - Accent 2"/>
    <w:basedOn w:val="877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939" w:customStyle="1">
    <w:name w:val="Grid Table 4 - Accent 3"/>
    <w:basedOn w:val="877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940" w:customStyle="1">
    <w:name w:val="Grid Table 4 - Accent 4"/>
    <w:basedOn w:val="877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941" w:customStyle="1">
    <w:name w:val="Grid Table 4 - Accent 5"/>
    <w:basedOn w:val="877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942" w:customStyle="1">
    <w:name w:val="Grid Table 4 - Accent 6"/>
    <w:basedOn w:val="877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943">
    <w:name w:val="Grid Table 5 Dark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944" w:customStyle="1">
    <w:name w:val="Grid Table 5 Dark- Accent 1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945" w:customStyle="1">
    <w:name w:val="Grid Table 5 Dark - Accent 2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946" w:customStyle="1">
    <w:name w:val="Grid Table 5 Dark - Accent 3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947" w:customStyle="1">
    <w:name w:val="Grid Table 5 Dark- Accent 4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948" w:customStyle="1">
    <w:name w:val="Grid Table 5 Dark - Accent 5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949" w:customStyle="1">
    <w:name w:val="Grid Table 5 Dark - Accent 6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950">
    <w:name w:val="Grid Table 6 Colorful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51" w:customStyle="1">
    <w:name w:val="Grid Table 6 Colorful - Accent 1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952" w:customStyle="1">
    <w:name w:val="Grid Table 6 Colorful - Accent 2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953" w:customStyle="1">
    <w:name w:val="Grid Table 6 Colorful - Accent 3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954" w:customStyle="1">
    <w:name w:val="Grid Table 6 Colorful - Accent 4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955" w:customStyle="1">
    <w:name w:val="Grid Table 6 Colorful - Accent 5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56" w:customStyle="1">
    <w:name w:val="Grid Table 6 Colorful - Accent 6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57">
    <w:name w:val="Grid Table 7 Colorful"/>
    <w:basedOn w:val="8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8" w:customStyle="1">
    <w:name w:val="Grid Table 7 Colorful - Accent 1"/>
    <w:basedOn w:val="8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9" w:customStyle="1">
    <w:name w:val="Grid Table 7 Colorful - Accent 2"/>
    <w:basedOn w:val="8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0" w:customStyle="1">
    <w:name w:val="Grid Table 7 Colorful - Accent 3"/>
    <w:basedOn w:val="8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 w:customStyle="1">
    <w:name w:val="Grid Table 7 Colorful - Accent 4"/>
    <w:basedOn w:val="8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 w:customStyle="1">
    <w:name w:val="Grid Table 7 Colorful - Accent 5"/>
    <w:basedOn w:val="8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 w:customStyle="1">
    <w:name w:val="Grid Table 7 Colorful - Accent 6"/>
    <w:basedOn w:val="8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>
    <w:name w:val="List Table 1 Light"/>
    <w:basedOn w:val="8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 w:customStyle="1">
    <w:name w:val="List Table 1 Light - Accent 1"/>
    <w:basedOn w:val="8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 w:customStyle="1">
    <w:name w:val="List Table 1 Light - Accent 2"/>
    <w:basedOn w:val="8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 w:customStyle="1">
    <w:name w:val="List Table 1 Light - Accent 3"/>
    <w:basedOn w:val="8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8" w:customStyle="1">
    <w:name w:val="List Table 1 Light - Accent 4"/>
    <w:basedOn w:val="8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9" w:customStyle="1">
    <w:name w:val="List Table 1 Light - Accent 5"/>
    <w:basedOn w:val="8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0" w:customStyle="1">
    <w:name w:val="List Table 1 Light - Accent 6"/>
    <w:basedOn w:val="8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1">
    <w:name w:val="List Table 2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72" w:customStyle="1">
    <w:name w:val="List Table 2 - Accent 1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973" w:customStyle="1">
    <w:name w:val="List Table 2 - Accent 2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974" w:customStyle="1">
    <w:name w:val="List Table 2 - Accent 3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975" w:customStyle="1">
    <w:name w:val="List Table 2 - Accent 4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976" w:customStyle="1">
    <w:name w:val="List Table 2 - Accent 5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77" w:customStyle="1">
    <w:name w:val="List Table 2 - Accent 6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78">
    <w:name w:val="List Table 3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9" w:customStyle="1">
    <w:name w:val="List Table 3 - Accent 1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0" w:customStyle="1">
    <w:name w:val="List Table 3 - Accent 2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1" w:customStyle="1">
    <w:name w:val="List Table 3 - Accent 3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2" w:customStyle="1">
    <w:name w:val="List Table 3 - Accent 4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3" w:customStyle="1">
    <w:name w:val="List Table 3 - Accent 5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4" w:customStyle="1">
    <w:name w:val="List Table 3 - Accent 6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5">
    <w:name w:val="List Table 4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6" w:customStyle="1">
    <w:name w:val="List Table 4 - Accent 1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7" w:customStyle="1">
    <w:name w:val="List Table 4 - Accent 2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8" w:customStyle="1">
    <w:name w:val="List Table 4 - Accent 3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9" w:customStyle="1">
    <w:name w:val="List Table 4 - Accent 4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0" w:customStyle="1">
    <w:name w:val="List Table 4 - Accent 5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1" w:customStyle="1">
    <w:name w:val="List Table 4 - Accent 6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2">
    <w:name w:val="List Table 5 Dark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93" w:customStyle="1">
    <w:name w:val="List Table 5 Dark - Accent 1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94" w:customStyle="1">
    <w:name w:val="List Table 5 Dark - Accent 2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95" w:customStyle="1">
    <w:name w:val="List Table 5 Dark - Accent 3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96" w:customStyle="1">
    <w:name w:val="List Table 5 Dark - Accent 4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97" w:customStyle="1">
    <w:name w:val="List Table 5 Dark - Accent 5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98" w:customStyle="1">
    <w:name w:val="List Table 5 Dark - Accent 6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99">
    <w:name w:val="List Table 6 Colorful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1000" w:customStyle="1">
    <w:name w:val="List Table 6 Colorful - Accent 1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1001" w:customStyle="1">
    <w:name w:val="List Table 6 Colorful - Accent 2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1002" w:customStyle="1">
    <w:name w:val="List Table 6 Colorful - Accent 3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1003" w:customStyle="1">
    <w:name w:val="List Table 6 Colorful - Accent 4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1004" w:customStyle="1">
    <w:name w:val="List Table 6 Colorful - Accent 5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1005" w:customStyle="1">
    <w:name w:val="List Table 6 Colorful - Accent 6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1006">
    <w:name w:val="List Table 7 Colorful"/>
    <w:basedOn w:val="87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7" w:customStyle="1">
    <w:name w:val="List Table 7 Colorful - Accent 1"/>
    <w:basedOn w:val="87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8" w:customStyle="1">
    <w:name w:val="List Table 7 Colorful - Accent 2"/>
    <w:basedOn w:val="87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9" w:customStyle="1">
    <w:name w:val="List Table 7 Colorful - Accent 3"/>
    <w:basedOn w:val="87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0" w:customStyle="1">
    <w:name w:val="List Table 7 Colorful - Accent 4"/>
    <w:basedOn w:val="87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1" w:customStyle="1">
    <w:name w:val="List Table 7 Colorful - Accent 5"/>
    <w:basedOn w:val="87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2" w:customStyle="1">
    <w:name w:val="List Table 7 Colorful - Accent 6"/>
    <w:basedOn w:val="87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3" w:customStyle="1">
    <w:name w:val="Lined - Accent"/>
    <w:basedOn w:val="87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14" w:customStyle="1">
    <w:name w:val="Lined - Accent 1"/>
    <w:basedOn w:val="87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015" w:customStyle="1">
    <w:name w:val="Lined - Accent 2"/>
    <w:basedOn w:val="87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016" w:customStyle="1">
    <w:name w:val="Lined - Accent 3"/>
    <w:basedOn w:val="87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017" w:customStyle="1">
    <w:name w:val="Lined - Accent 4"/>
    <w:basedOn w:val="87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018" w:customStyle="1">
    <w:name w:val="Lined - Accent 5"/>
    <w:basedOn w:val="87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019" w:customStyle="1">
    <w:name w:val="Lined - Accent 6"/>
    <w:basedOn w:val="87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020" w:customStyle="1">
    <w:name w:val="Bordered &amp; Lined - Accent"/>
    <w:basedOn w:val="87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21" w:customStyle="1">
    <w:name w:val="Bordered &amp; Lined - Accent 1"/>
    <w:basedOn w:val="87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022" w:customStyle="1">
    <w:name w:val="Bordered &amp; Lined - Accent 2"/>
    <w:basedOn w:val="87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023" w:customStyle="1">
    <w:name w:val="Bordered &amp; Lined - Accent 3"/>
    <w:basedOn w:val="87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024" w:customStyle="1">
    <w:name w:val="Bordered &amp; Lined - Accent 4"/>
    <w:basedOn w:val="87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025" w:customStyle="1">
    <w:name w:val="Bordered &amp; Lined - Accent 5"/>
    <w:basedOn w:val="87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026" w:customStyle="1">
    <w:name w:val="Bordered &amp; Lined - Accent 6"/>
    <w:basedOn w:val="87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027" w:customStyle="1">
    <w:name w:val="Bordered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028" w:customStyle="1">
    <w:name w:val="Bordered - Accent 1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1029" w:customStyle="1">
    <w:name w:val="Bordered - Accent 2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1030" w:customStyle="1">
    <w:name w:val="Bordered - Accent 3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1031" w:customStyle="1">
    <w:name w:val="Bordered - Accent 4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1032" w:customStyle="1">
    <w:name w:val="Bordered - Accent 5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1033" w:customStyle="1">
    <w:name w:val="Bordered - Accent 6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1034" w:customStyle="1">
    <w:name w:val="Footnote Text Char"/>
    <w:uiPriority w:val="99"/>
    <w:rPr>
      <w:sz w:val="18"/>
    </w:rPr>
  </w:style>
  <w:style w:type="character" w:styleId="1035" w:customStyle="1">
    <w:name w:val="Endnote Text Char"/>
    <w:uiPriority w:val="99"/>
    <w:rPr>
      <w:sz w:val="20"/>
    </w:rPr>
  </w:style>
  <w:style w:type="paragraph" w:styleId="1036">
    <w:name w:val="toc 1"/>
    <w:basedOn w:val="866"/>
    <w:next w:val="866"/>
    <w:uiPriority w:val="39"/>
    <w:unhideWhenUsed/>
    <w:pPr>
      <w:spacing w:after="57"/>
    </w:pPr>
  </w:style>
  <w:style w:type="paragraph" w:styleId="1037">
    <w:name w:val="toc 2"/>
    <w:basedOn w:val="866"/>
    <w:next w:val="866"/>
    <w:uiPriority w:val="39"/>
    <w:unhideWhenUsed/>
    <w:pPr>
      <w:ind w:left="283"/>
      <w:spacing w:after="57"/>
    </w:pPr>
  </w:style>
  <w:style w:type="paragraph" w:styleId="1038">
    <w:name w:val="toc 3"/>
    <w:basedOn w:val="866"/>
    <w:next w:val="866"/>
    <w:uiPriority w:val="39"/>
    <w:unhideWhenUsed/>
    <w:pPr>
      <w:ind w:left="567"/>
      <w:spacing w:after="57"/>
    </w:pPr>
  </w:style>
  <w:style w:type="paragraph" w:styleId="1039">
    <w:name w:val="toc 4"/>
    <w:basedOn w:val="866"/>
    <w:next w:val="866"/>
    <w:uiPriority w:val="39"/>
    <w:unhideWhenUsed/>
    <w:pPr>
      <w:ind w:left="850"/>
      <w:spacing w:after="57"/>
    </w:pPr>
  </w:style>
  <w:style w:type="paragraph" w:styleId="1040">
    <w:name w:val="toc 5"/>
    <w:basedOn w:val="866"/>
    <w:next w:val="866"/>
    <w:uiPriority w:val="39"/>
    <w:unhideWhenUsed/>
    <w:pPr>
      <w:ind w:left="1134"/>
      <w:spacing w:after="57"/>
    </w:pPr>
  </w:style>
  <w:style w:type="paragraph" w:styleId="1041">
    <w:name w:val="toc 6"/>
    <w:basedOn w:val="866"/>
    <w:next w:val="866"/>
    <w:uiPriority w:val="39"/>
    <w:unhideWhenUsed/>
    <w:pPr>
      <w:ind w:left="1417"/>
      <w:spacing w:after="57"/>
    </w:pPr>
  </w:style>
  <w:style w:type="paragraph" w:styleId="1042">
    <w:name w:val="toc 7"/>
    <w:basedOn w:val="866"/>
    <w:next w:val="866"/>
    <w:uiPriority w:val="39"/>
    <w:unhideWhenUsed/>
    <w:pPr>
      <w:ind w:left="1701"/>
      <w:spacing w:after="57"/>
    </w:pPr>
  </w:style>
  <w:style w:type="paragraph" w:styleId="1043">
    <w:name w:val="toc 8"/>
    <w:basedOn w:val="866"/>
    <w:next w:val="866"/>
    <w:uiPriority w:val="39"/>
    <w:unhideWhenUsed/>
    <w:pPr>
      <w:ind w:left="1984"/>
      <w:spacing w:after="57"/>
    </w:pPr>
  </w:style>
  <w:style w:type="paragraph" w:styleId="1044">
    <w:name w:val="toc 9"/>
    <w:basedOn w:val="866"/>
    <w:next w:val="866"/>
    <w:uiPriority w:val="39"/>
    <w:unhideWhenUsed/>
    <w:pPr>
      <w:ind w:left="2268"/>
      <w:spacing w:after="57"/>
    </w:pPr>
  </w:style>
  <w:style w:type="paragraph" w:styleId="1045">
    <w:name w:val="TOC Heading"/>
    <w:uiPriority w:val="39"/>
    <w:unhideWhenUsed/>
  </w:style>
  <w:style w:type="paragraph" w:styleId="1046">
    <w:name w:val="table of figures"/>
    <w:basedOn w:val="866"/>
    <w:next w:val="866"/>
    <w:uiPriority w:val="99"/>
    <w:unhideWhenUsed/>
    <w:pPr>
      <w:spacing w:after="0"/>
    </w:pPr>
  </w:style>
  <w:style w:type="paragraph" w:styleId="1047">
    <w:name w:val="footnote text"/>
    <w:basedOn w:val="866"/>
    <w:link w:val="1048"/>
    <w:uiPriority w:val="99"/>
    <w:semiHidden/>
    <w:unhideWhenUsed/>
    <w:pPr>
      <w:spacing w:before="120" w:after="12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1048" w:customStyle="1">
    <w:name w:val="Текст сноски Знак"/>
    <w:basedOn w:val="876"/>
    <w:link w:val="1047"/>
    <w:uiPriority w:val="99"/>
    <w:semiHidden/>
    <w:rPr>
      <w:rFonts w:ascii="Times New Roman" w:hAnsi="Times New Roman" w:eastAsia="Times New Roman" w:cs="Times New Roman"/>
      <w:sz w:val="20"/>
      <w:szCs w:val="20"/>
    </w:rPr>
  </w:style>
  <w:style w:type="paragraph" w:styleId="1049">
    <w:name w:val="Title"/>
    <w:basedOn w:val="866"/>
    <w:link w:val="1050"/>
    <w:qFormat/>
    <w:pPr>
      <w:ind w:right="-1050"/>
      <w:jc w:val="center"/>
      <w:spacing w:before="120" w:after="12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1050" w:customStyle="1">
    <w:name w:val="Заголовок Знак"/>
    <w:basedOn w:val="876"/>
    <w:link w:val="1049"/>
    <w:rPr>
      <w:rFonts w:ascii="Times New Roman" w:hAnsi="Times New Roman" w:eastAsia="Times New Roman" w:cs="Times New Roman"/>
      <w:sz w:val="24"/>
      <w:szCs w:val="24"/>
    </w:rPr>
  </w:style>
  <w:style w:type="character" w:styleId="1051" w:customStyle="1">
    <w:name w:val="Основной текст Знак"/>
    <w:basedOn w:val="876"/>
    <w:link w:val="1052"/>
    <w:rPr>
      <w:rFonts w:ascii="Times New Roman" w:hAnsi="Times New Roman" w:eastAsia="Times New Roman" w:cs="Times New Roman"/>
      <w:sz w:val="28"/>
      <w:szCs w:val="28"/>
    </w:rPr>
  </w:style>
  <w:style w:type="paragraph" w:styleId="1052">
    <w:name w:val="Body Text"/>
    <w:basedOn w:val="866"/>
    <w:link w:val="1051"/>
    <w:unhideWhenUsed/>
    <w:pPr>
      <w:ind w:firstLine="567"/>
      <w:jc w:val="both"/>
      <w:spacing w:before="120" w:after="120" w:line="360" w:lineRule="auto"/>
    </w:pPr>
    <w:rPr>
      <w:rFonts w:ascii="Times New Roman" w:hAnsi="Times New Roman" w:eastAsia="Times New Roman" w:cs="Times New Roman"/>
      <w:sz w:val="28"/>
      <w:szCs w:val="28"/>
    </w:rPr>
  </w:style>
  <w:style w:type="character" w:styleId="1053" w:customStyle="1">
    <w:name w:val="Основной текст Знак1"/>
    <w:basedOn w:val="876"/>
    <w:uiPriority w:val="99"/>
    <w:semiHidden/>
  </w:style>
  <w:style w:type="paragraph" w:styleId="1054">
    <w:name w:val="Body Text Indent"/>
    <w:basedOn w:val="866"/>
    <w:link w:val="1055"/>
    <w:unhideWhenUsed/>
    <w:pPr>
      <w:ind w:left="283" w:firstLine="709"/>
      <w:jc w:val="both"/>
      <w:keepNext/>
      <w:spacing w:before="120" w:after="120" w:line="30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1055" w:customStyle="1">
    <w:name w:val="Основной текст с отступом Знак"/>
    <w:basedOn w:val="876"/>
    <w:link w:val="1054"/>
    <w:rPr>
      <w:rFonts w:ascii="Times New Roman" w:hAnsi="Times New Roman" w:eastAsia="Times New Roman" w:cs="Times New Roman"/>
      <w:sz w:val="24"/>
      <w:szCs w:val="24"/>
    </w:rPr>
  </w:style>
  <w:style w:type="paragraph" w:styleId="1056">
    <w:name w:val="Body Text 2"/>
    <w:basedOn w:val="866"/>
    <w:link w:val="1057"/>
    <w:unhideWhenUsed/>
    <w:pPr>
      <w:ind w:firstLine="567"/>
      <w:jc w:val="both"/>
      <w:spacing w:before="120" w:after="120" w:line="480" w:lineRule="auto"/>
    </w:pPr>
    <w:rPr>
      <w:rFonts w:ascii="Times New Roman" w:hAnsi="Times New Roman" w:eastAsia="Times New Roman" w:cs="Times New Roman"/>
      <w:sz w:val="28"/>
      <w:szCs w:val="28"/>
    </w:rPr>
  </w:style>
  <w:style w:type="character" w:styleId="1057" w:customStyle="1">
    <w:name w:val="Основной текст 2 Знак"/>
    <w:basedOn w:val="876"/>
    <w:link w:val="1056"/>
    <w:rPr>
      <w:rFonts w:ascii="Times New Roman" w:hAnsi="Times New Roman" w:eastAsia="Times New Roman" w:cs="Times New Roman"/>
      <w:sz w:val="28"/>
      <w:szCs w:val="28"/>
    </w:rPr>
  </w:style>
  <w:style w:type="paragraph" w:styleId="1058">
    <w:name w:val="Body Text 3"/>
    <w:basedOn w:val="866"/>
    <w:link w:val="1059"/>
    <w:uiPriority w:val="99"/>
    <w:semiHidden/>
    <w:unhideWhenUsed/>
    <w:pPr>
      <w:ind w:firstLine="709"/>
      <w:jc w:val="both"/>
      <w:keepNext/>
      <w:spacing w:before="120" w:after="120" w:line="300" w:lineRule="auto"/>
    </w:pPr>
    <w:rPr>
      <w:rFonts w:ascii="Times New Roman" w:hAnsi="Times New Roman" w:eastAsia="Times New Roman" w:cs="Times New Roman"/>
      <w:sz w:val="16"/>
      <w:szCs w:val="16"/>
    </w:rPr>
  </w:style>
  <w:style w:type="character" w:styleId="1059" w:customStyle="1">
    <w:name w:val="Основной текст 3 Знак"/>
    <w:basedOn w:val="876"/>
    <w:link w:val="1058"/>
    <w:uiPriority w:val="99"/>
    <w:semiHidden/>
    <w:rPr>
      <w:rFonts w:ascii="Times New Roman" w:hAnsi="Times New Roman" w:eastAsia="Times New Roman" w:cs="Times New Roman"/>
      <w:sz w:val="16"/>
      <w:szCs w:val="16"/>
    </w:rPr>
  </w:style>
  <w:style w:type="paragraph" w:styleId="1060">
    <w:name w:val="No Spacing"/>
    <w:link w:val="1071"/>
    <w:uiPriority w:val="1"/>
    <w:qFormat/>
    <w:pPr>
      <w:ind w:firstLine="709"/>
      <w:jc w:val="both"/>
      <w:spacing w:before="120" w:after="120" w:line="30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061" w:customStyle="1">
    <w:name w:val="МРСК_заголовок_1"/>
    <w:basedOn w:val="867"/>
    <w:pPr>
      <w:numPr>
        <w:ilvl w:val="0"/>
        <w:numId w:val="1"/>
      </w:numPr>
      <w:jc w:val="both"/>
      <w:keepLines w:val="0"/>
      <w:spacing w:before="240" w:after="60" w:line="300" w:lineRule="auto"/>
      <w:shd w:val="clear" w:color="auto" w:fill="d9d9d9"/>
    </w:pPr>
    <w:rPr>
      <w:rFonts w:ascii="Times New Roman" w:hAnsi="Times New Roman" w:eastAsia="Times New Roman" w:cs="Arial"/>
      <w:caps/>
      <w:color w:val="auto"/>
    </w:rPr>
  </w:style>
  <w:style w:type="paragraph" w:styleId="1062" w:customStyle="1">
    <w:name w:val="МРСК_заголовок_2"/>
    <w:basedOn w:val="866"/>
    <w:pPr>
      <w:numPr>
        <w:ilvl w:val="1"/>
        <w:numId w:val="1"/>
      </w:numPr>
      <w:contextualSpacing/>
      <w:keepNext/>
      <w:spacing w:before="240" w:after="60" w:line="240" w:lineRule="auto"/>
      <w:widowControl w:val="off"/>
      <w:suppressLineNumbers/>
    </w:pPr>
    <w:rPr>
      <w:rFonts w:ascii="Times New Roman" w:hAnsi="Times New Roman" w:eastAsia="Times New Roman" w:cs="Times New Roman"/>
      <w:b/>
      <w:caps/>
      <w:sz w:val="26"/>
      <w:szCs w:val="24"/>
    </w:rPr>
  </w:style>
  <w:style w:type="paragraph" w:styleId="1063" w:customStyle="1">
    <w:name w:val="МРСК_заголовок_3"/>
    <w:basedOn w:val="869"/>
    <w:qFormat/>
    <w:pPr>
      <w:numPr>
        <w:ilvl w:val="2"/>
        <w:numId w:val="1"/>
      </w:numPr>
      <w:jc w:val="both"/>
      <w:keepLines w:val="0"/>
      <w:spacing w:before="240" w:after="60" w:line="300" w:lineRule="auto"/>
    </w:pPr>
    <w:rPr>
      <w:rFonts w:ascii="Times New Roman" w:hAnsi="Times New Roman" w:eastAsia="Times New Roman" w:cs="Times New Roman"/>
      <w:color w:val="auto"/>
      <w:sz w:val="24"/>
      <w:szCs w:val="26"/>
    </w:rPr>
  </w:style>
  <w:style w:type="paragraph" w:styleId="1064" w:customStyle="1">
    <w:name w:val="Обычный2"/>
    <w:pPr>
      <w:ind w:firstLine="709"/>
      <w:jc w:val="both"/>
      <w:spacing w:before="120" w:after="120" w:line="30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1065">
    <w:name w:val="footnote reference"/>
    <w:uiPriority w:val="99"/>
    <w:semiHidden/>
    <w:unhideWhenUsed/>
    <w:rPr>
      <w:rFonts w:hint="default" w:ascii="Times New Roman" w:hAnsi="Times New Roman" w:cs="Times New Roman"/>
      <w:vertAlign w:val="superscript"/>
    </w:rPr>
  </w:style>
  <w:style w:type="numbering" w:styleId="1066" w:customStyle="1">
    <w:name w:val="Стиль22"/>
    <w:pPr>
      <w:numPr>
        <w:ilvl w:val="0"/>
        <w:numId w:val="22"/>
      </w:numPr>
    </w:pPr>
  </w:style>
  <w:style w:type="character" w:styleId="1067" w:customStyle="1">
    <w:name w:val="Заголовок 1 Знак"/>
    <w:basedOn w:val="876"/>
    <w:link w:val="867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1068" w:customStyle="1">
    <w:name w:val="Заголовок 3 Знак"/>
    <w:basedOn w:val="876"/>
    <w:link w:val="869"/>
    <w:uiPriority w:val="9"/>
    <w:semiHidden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1069">
    <w:name w:val="Hyperlink"/>
    <w:basedOn w:val="876"/>
    <w:uiPriority w:val="99"/>
    <w:unhideWhenUsed/>
    <w:rPr>
      <w:color w:val="0000ff" w:themeColor="hyperlink"/>
      <w:u w:val="single"/>
    </w:rPr>
  </w:style>
  <w:style w:type="paragraph" w:styleId="1070" w:customStyle="1">
    <w:name w:val="ConsPlusNonformat"/>
    <w:uiPriority w:val="99"/>
    <w:pPr>
      <w:spacing w:after="0" w:line="240" w:lineRule="auto"/>
    </w:pPr>
    <w:rPr>
      <w:rFonts w:ascii="Courier New" w:hAnsi="Courier New" w:eastAsia="Times New Roman" w:cs="Courier New"/>
      <w:sz w:val="20"/>
      <w:szCs w:val="20"/>
    </w:rPr>
  </w:style>
  <w:style w:type="character" w:styleId="1071" w:customStyle="1">
    <w:name w:val="Без интервала Знак"/>
    <w:link w:val="1060"/>
    <w:uiPriority w:val="1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72" w:customStyle="1">
    <w:name w:val="МРСК_таблица_текст"/>
    <w:basedOn w:val="866"/>
    <w:pPr>
      <w:jc w:val="both"/>
      <w:keepNext/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1073">
    <w:name w:val="Header"/>
    <w:basedOn w:val="866"/>
    <w:link w:val="1074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1074" w:customStyle="1">
    <w:name w:val="Верхний колонтитул Знак"/>
    <w:basedOn w:val="876"/>
    <w:link w:val="1073"/>
    <w:uiPriority w:val="99"/>
  </w:style>
  <w:style w:type="paragraph" w:styleId="1075">
    <w:name w:val="Footer"/>
    <w:basedOn w:val="866"/>
    <w:link w:val="1076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1076" w:customStyle="1">
    <w:name w:val="Нижний колонтитул Знак"/>
    <w:basedOn w:val="876"/>
    <w:link w:val="1075"/>
    <w:uiPriority w:val="99"/>
  </w:style>
  <w:style w:type="character" w:styleId="1077" w:customStyle="1">
    <w:name w:val="apple-converted-space"/>
    <w:basedOn w:val="876"/>
  </w:style>
  <w:style w:type="paragraph" w:styleId="1078">
    <w:name w:val="Normal (Web)"/>
    <w:basedOn w:val="866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table" w:styleId="1079">
    <w:name w:val="Table Grid"/>
    <w:basedOn w:val="877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80">
    <w:name w:val="List Paragraph"/>
    <w:basedOn w:val="866"/>
    <w:qFormat/>
    <w:pPr>
      <w:contextualSpacing/>
      <w:ind w:left="720"/>
    </w:pPr>
  </w:style>
  <w:style w:type="paragraph" w:styleId="1081" w:customStyle="1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1082" w:customStyle="1">
    <w:name w:val="Font Style14"/>
    <w:basedOn w:val="876"/>
    <w:uiPriority w:val="99"/>
    <w:rPr>
      <w:rFonts w:ascii="Arial" w:hAnsi="Arial" w:cs="Arial"/>
      <w:b/>
      <w:bCs/>
      <w:sz w:val="18"/>
      <w:szCs w:val="18"/>
    </w:rPr>
  </w:style>
  <w:style w:type="character" w:styleId="1083" w:customStyle="1">
    <w:name w:val="js-phone-number"/>
    <w:basedOn w:val="876"/>
  </w:style>
  <w:style w:type="paragraph" w:styleId="1084">
    <w:name w:val="Balloon Text"/>
    <w:basedOn w:val="866"/>
    <w:link w:val="108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1085" w:customStyle="1">
    <w:name w:val="Текст выноски Знак"/>
    <w:basedOn w:val="876"/>
    <w:link w:val="1084"/>
    <w:uiPriority w:val="99"/>
    <w:semiHidden/>
    <w:rPr>
      <w:rFonts w:ascii="Tahoma" w:hAnsi="Tahoma" w:cs="Tahoma"/>
      <w:sz w:val="16"/>
      <w:szCs w:val="16"/>
    </w:rPr>
  </w:style>
  <w:style w:type="numbering" w:styleId="1086" w:customStyle="1">
    <w:name w:val="Нет списка1"/>
    <w:next w:val="878"/>
    <w:uiPriority w:val="99"/>
    <w:semiHidden/>
    <w:unhideWhenUsed/>
  </w:style>
  <w:style w:type="numbering" w:styleId="1087" w:customStyle="1">
    <w:name w:val="Нет списка2"/>
    <w:next w:val="878"/>
    <w:uiPriority w:val="99"/>
    <w:semiHidden/>
    <w:unhideWhenUsed/>
  </w:style>
  <w:style w:type="numbering" w:styleId="1088" w:customStyle="1">
    <w:name w:val="Нет списка11"/>
    <w:next w:val="878"/>
    <w:uiPriority w:val="99"/>
    <w:semiHidden/>
    <w:unhideWhenUsed/>
  </w:style>
  <w:style w:type="character" w:styleId="1089" w:customStyle="1">
    <w:name w:val="property_name"/>
    <w:basedOn w:val="876"/>
  </w:style>
  <w:style w:type="character" w:styleId="1090" w:customStyle="1">
    <w:name w:val="n-product-spec__name-inner"/>
    <w:basedOn w:val="876"/>
  </w:style>
  <w:style w:type="character" w:styleId="1091">
    <w:name w:val="Strong"/>
    <w:basedOn w:val="876"/>
    <w:uiPriority w:val="22"/>
    <w:qFormat/>
    <w:rPr>
      <w:b/>
      <w:bCs/>
    </w:rPr>
  </w:style>
  <w:style w:type="character" w:styleId="1092" w:customStyle="1">
    <w:name w:val="Основной текст (2)_"/>
    <w:basedOn w:val="876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styleId="1093" w:customStyle="1">
    <w:name w:val="Основной текст (2)"/>
    <w:basedOn w:val="1092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styleId="1094" w:customStyle="1">
    <w:name w:val="Основной текст (2) + Полужирный"/>
    <w:basedOn w:val="1092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styleId="1095" w:customStyle="1">
    <w:name w:val="Основной текст (2) + Arial Narrow;9;5 pt"/>
    <w:basedOn w:val="1092"/>
    <w:rPr>
      <w:rFonts w:ascii="Arial Narrow" w:hAnsi="Arial Narrow" w:eastAsia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styleId="1096" w:customStyle="1">
    <w:name w:val="Основной текст (2) + Arial Narrow;15 pt"/>
    <w:basedOn w:val="1092"/>
    <w:rPr>
      <w:rFonts w:ascii="Arial Narrow" w:hAnsi="Arial Narrow" w:eastAsia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1097">
    <w:name w:val="endnote text"/>
    <w:basedOn w:val="866"/>
    <w:link w:val="1098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1098" w:customStyle="1">
    <w:name w:val="Текст концевой сноски Знак"/>
    <w:basedOn w:val="876"/>
    <w:link w:val="1097"/>
    <w:uiPriority w:val="99"/>
    <w:semiHidden/>
    <w:rPr>
      <w:sz w:val="20"/>
      <w:szCs w:val="20"/>
    </w:rPr>
  </w:style>
  <w:style w:type="character" w:styleId="1099">
    <w:name w:val="endnote reference"/>
    <w:basedOn w:val="876"/>
    <w:uiPriority w:val="99"/>
    <w:semiHidden/>
    <w:unhideWhenUsed/>
    <w:rPr>
      <w:vertAlign w:val="superscript"/>
    </w:rPr>
  </w:style>
  <w:style w:type="numbering" w:styleId="1100" w:customStyle="1">
    <w:name w:val="Нет списка3"/>
    <w:next w:val="878"/>
    <w:uiPriority w:val="99"/>
    <w:semiHidden/>
    <w:unhideWhenUsed/>
  </w:style>
  <w:style w:type="table" w:styleId="1101" w:customStyle="1">
    <w:name w:val="Сетка таблицы1"/>
    <w:basedOn w:val="877"/>
    <w:next w:val="1079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102" w:customStyle="1">
    <w:name w:val="Абзац списка1"/>
    <w:basedOn w:val="866"/>
    <w:pPr>
      <w:ind w:left="708"/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103" w:customStyle="1">
    <w:name w:val="Стиль3"/>
    <w:basedOn w:val="866"/>
    <w:link w:val="1104"/>
    <w:pPr>
      <w:ind w:firstLine="567"/>
      <w:jc w:val="both"/>
      <w:keepLines/>
      <w:spacing w:after="0" w:line="360" w:lineRule="auto"/>
    </w:pPr>
    <w:rPr>
      <w:rFonts w:ascii="Arial" w:hAnsi="Arial" w:eastAsia="Times New Roman" w:cs="Times New Roman"/>
    </w:rPr>
  </w:style>
  <w:style w:type="character" w:styleId="1104" w:customStyle="1">
    <w:name w:val="Стиль3 Знак"/>
    <w:link w:val="1103"/>
    <w:rPr>
      <w:rFonts w:ascii="Arial" w:hAnsi="Arial" w:eastAsia="Times New Roman" w:cs="Times New Roman"/>
    </w:rPr>
  </w:style>
  <w:style w:type="character" w:styleId="1105" w:customStyle="1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1106">
    <w:name w:val="annotation reference"/>
    <w:uiPriority w:val="99"/>
    <w:semiHidden/>
    <w:unhideWhenUsed/>
    <w:rPr>
      <w:sz w:val="16"/>
      <w:szCs w:val="16"/>
    </w:rPr>
  </w:style>
  <w:style w:type="paragraph" w:styleId="1107">
    <w:name w:val="annotation text"/>
    <w:basedOn w:val="866"/>
    <w:link w:val="1108"/>
    <w:uiPriority w:val="99"/>
    <w:semiHidden/>
    <w:unhideWhenUsed/>
    <w:rPr>
      <w:rFonts w:ascii="Calibri" w:hAnsi="Calibri" w:eastAsia="Calibri" w:cs="Times New Roman"/>
      <w:sz w:val="20"/>
      <w:szCs w:val="20"/>
      <w:lang w:eastAsia="en-US"/>
    </w:rPr>
  </w:style>
  <w:style w:type="character" w:styleId="1108" w:customStyle="1">
    <w:name w:val="Текст примечания Знак"/>
    <w:basedOn w:val="876"/>
    <w:link w:val="1107"/>
    <w:uiPriority w:val="99"/>
    <w:semiHidden/>
    <w:rPr>
      <w:rFonts w:ascii="Calibri" w:hAnsi="Calibri" w:eastAsia="Calibri" w:cs="Times New Roman"/>
      <w:sz w:val="20"/>
      <w:szCs w:val="20"/>
      <w:lang w:eastAsia="en-US"/>
    </w:rPr>
  </w:style>
  <w:style w:type="paragraph" w:styleId="1109">
    <w:name w:val="annotation subject"/>
    <w:basedOn w:val="1107"/>
    <w:next w:val="1107"/>
    <w:link w:val="1110"/>
    <w:uiPriority w:val="99"/>
    <w:semiHidden/>
    <w:unhideWhenUsed/>
    <w:rPr>
      <w:b/>
      <w:bCs/>
    </w:rPr>
  </w:style>
  <w:style w:type="character" w:styleId="1110" w:customStyle="1">
    <w:name w:val="Тема примечания Знак"/>
    <w:basedOn w:val="1108"/>
    <w:link w:val="1109"/>
    <w:uiPriority w:val="99"/>
    <w:semiHidden/>
    <w:rPr>
      <w:rFonts w:ascii="Calibri" w:hAnsi="Calibri" w:eastAsia="Calibri" w:cs="Times New Roman"/>
      <w:b/>
      <w:bCs/>
      <w:sz w:val="20"/>
      <w:szCs w:val="20"/>
      <w:lang w:eastAsia="en-US"/>
    </w:rPr>
  </w:style>
  <w:style w:type="paragraph" w:styleId="1111">
    <w:name w:val="Plain Text"/>
    <w:basedOn w:val="866"/>
    <w:link w:val="1112"/>
    <w:uiPriority w:val="99"/>
    <w:unhideWhenUsed/>
    <w:pPr>
      <w:spacing w:after="0" w:line="240" w:lineRule="auto"/>
    </w:pPr>
    <w:rPr>
      <w:rFonts w:ascii="Calibri" w:hAnsi="Calibri" w:eastAsia="Times New Roman" w:cs="Times New Roman"/>
      <w:szCs w:val="21"/>
      <w:lang w:eastAsia="en-US"/>
    </w:rPr>
  </w:style>
  <w:style w:type="character" w:styleId="1112" w:customStyle="1">
    <w:name w:val="Текст Знак"/>
    <w:basedOn w:val="876"/>
    <w:link w:val="1111"/>
    <w:uiPriority w:val="99"/>
    <w:rPr>
      <w:rFonts w:ascii="Calibri" w:hAnsi="Calibri" w:eastAsia="Times New Roman" w:cs="Times New Roman"/>
      <w:szCs w:val="21"/>
      <w:lang w:eastAsia="en-US"/>
    </w:rPr>
  </w:style>
  <w:style w:type="paragraph" w:styleId="1113">
    <w:name w:val="Revision"/>
    <w:hidden/>
    <w:uiPriority w:val="99"/>
    <w:semiHidden/>
    <w:pPr>
      <w:spacing w:after="0" w:line="240" w:lineRule="auto"/>
    </w:pPr>
    <w:rPr>
      <w:rFonts w:ascii="Calibri" w:hAnsi="Calibri" w:eastAsia="Calibri" w:cs="Times New Roman"/>
      <w:lang w:eastAsia="en-US"/>
    </w:rPr>
  </w:style>
  <w:style w:type="paragraph" w:styleId="1114" w:customStyle="1">
    <w:name w:val="Абзац списка2"/>
    <w:basedOn w:val="866"/>
    <w:pPr>
      <w:ind w:left="708"/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1115" w:customStyle="1">
    <w:name w:val="Font Style53"/>
    <w:rPr>
      <w:rFonts w:ascii="Times New Roman" w:hAnsi="Times New Roman" w:cs="Times New Roman"/>
      <w:sz w:val="22"/>
      <w:szCs w:val="22"/>
    </w:rPr>
  </w:style>
  <w:style w:type="character" w:styleId="1116" w:customStyle="1">
    <w:name w:val="Font Style54"/>
    <w:rPr>
      <w:rFonts w:ascii="Times New Roman" w:hAnsi="Times New Roman" w:cs="Times New Roman"/>
      <w:b/>
      <w:bCs/>
      <w:sz w:val="22"/>
      <w:szCs w:val="22"/>
    </w:rPr>
  </w:style>
  <w:style w:type="paragraph" w:styleId="1117" w:customStyle="1">
    <w:name w:val="formattext"/>
    <w:basedOn w:val="86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118" w:customStyle="1">
    <w:name w:val="Без интервала1"/>
    <w:uiPriority w:val="1"/>
    <w:qFormat/>
    <w:pPr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Times New Roman"/>
      <w:lang w:eastAsia="en-US"/>
    </w:rPr>
  </w:style>
  <w:style w:type="paragraph" w:styleId="1119" w:customStyle="1">
    <w:name w:val="Текст сноски1"/>
    <w:uiPriority w:val="99"/>
    <w:pPr>
      <w:spacing w:before="120" w:after="12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sz w:val="20"/>
      <w:szCs w:val="20"/>
    </w:rPr>
  </w:style>
  <w:style w:type="character" w:styleId="1120" w:customStyle="1">
    <w:name w:val="Знак сноски1"/>
    <w:uiPriority w:val="99"/>
    <w:rPr>
      <w:rFonts w:cs="Times New Roman"/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hyperlink" Target="https://www.rosseti.ru/suppliers/technical-policy/equipment-quality-control/" TargetMode="External"/><Relationship Id="rId12" Type="http://schemas.openxmlformats.org/officeDocument/2006/relationships/hyperlink" Target="mailto:tuvaenergo@tv.rosseti-sib.ru" TargetMode="External"/><Relationship Id="rId13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cfd@rosseti.ru" TargetMode="External"/><Relationship Id="rId15" Type="http://schemas.openxmlformats.org/officeDocument/2006/relationships/hyperlink" Target="mailto:EvtifevaDV@tv.rosseti-sib.ru" TargetMode="External"/><Relationship Id="rId16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BaturinNV@tv.rosseti-sib.ru" TargetMode="External"/><Relationship Id="rId19" Type="http://schemas.openxmlformats.org/officeDocument/2006/relationships/hyperlink" Target="mailto:KularAY@tv.rosseti-sib.ru" TargetMode="External"/><Relationship Id="rId20" Type="http://schemas.openxmlformats.org/officeDocument/2006/relationships/hyperlink" Target="mailto:EvtifevaDV@tv.rosseti-sib.ru" TargetMode="External"/><Relationship Id="rId21" Type="http://schemas.openxmlformats.org/officeDocument/2006/relationships/hyperlink" Target="mailto:BaturinNV@tv.rosseti-sib.ru" TargetMode="External"/><Relationship Id="rId22" Type="http://schemas.openxmlformats.org/officeDocument/2006/relationships/hyperlink" Target="mailto:EvtifevaDV@tv.rosseti-sib.ru" TargetMode="External"/><Relationship Id="rId23" Type="http://schemas.openxmlformats.org/officeDocument/2006/relationships/hyperlink" Target="mailto:BaturinNV@tv.rosseti-sib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46541F-D577-4D87-BCCB-1E1583CC5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revision>231</cp:revision>
  <dcterms:created xsi:type="dcterms:W3CDTF">2023-08-25T12:30:00Z</dcterms:created>
  <dcterms:modified xsi:type="dcterms:W3CDTF">2025-11-03T07:27:53Z</dcterms:modified>
</cp:coreProperties>
</file>